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95" w:rsidRPr="007F64B2" w:rsidRDefault="00457095" w:rsidP="00457095">
      <w:pPr>
        <w:rPr>
          <w:rFonts w:ascii="Times New Roman" w:hAnsi="Times New Roman" w:cs="Times New Roman"/>
          <w:sz w:val="24"/>
        </w:rPr>
      </w:pPr>
    </w:p>
    <w:p w:rsidR="00457095" w:rsidRPr="007F64B2" w:rsidRDefault="00457095" w:rsidP="00457095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Pr="00E36DFF"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/>
          <w:b/>
          <w:bCs/>
        </w:rPr>
        <w:t xml:space="preserve"> 3</w:t>
      </w:r>
      <w:r w:rsidRPr="007F64B2"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0C200E">
        <w:rPr>
          <w:rFonts w:ascii="Times New Roman" w:hAnsi="Times New Roman" w:cs="Times New Roman"/>
          <w:b/>
          <w:bCs/>
          <w:sz w:val="24"/>
        </w:rPr>
        <w:t>Laboratory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0C200E">
        <w:rPr>
          <w:rFonts w:ascii="Times New Roman" w:hAnsi="Times New Roman" w:cs="Times New Roman"/>
          <w:b/>
          <w:bCs/>
          <w:sz w:val="24"/>
        </w:rPr>
        <w:t>indexes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0C200E">
        <w:rPr>
          <w:rFonts w:ascii="Times New Roman" w:hAnsi="Times New Roman" w:cs="Times New Roman"/>
          <w:b/>
          <w:bCs/>
          <w:sz w:val="24"/>
        </w:rPr>
        <w:t>of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0C200E">
        <w:rPr>
          <w:rFonts w:ascii="Times New Roman" w:hAnsi="Times New Roman" w:cs="Times New Roman"/>
          <w:b/>
          <w:bCs/>
          <w:sz w:val="24"/>
        </w:rPr>
        <w:t>sub-groups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3F08D0">
        <w:rPr>
          <w:rFonts w:ascii="Times New Roman" w:hAnsi="Times New Roman"/>
          <w:b/>
        </w:rPr>
        <w:t>in</w:t>
      </w:r>
      <w:r>
        <w:rPr>
          <w:rFonts w:ascii="Times New Roman" w:hAnsi="Times New Roman"/>
          <w:b/>
        </w:rPr>
        <w:t xml:space="preserve"> </w:t>
      </w:r>
      <w:r w:rsidRPr="000C200E">
        <w:rPr>
          <w:rFonts w:ascii="Times New Roman" w:hAnsi="Times New Roman" w:cs="Times New Roman"/>
          <w:b/>
          <w:bCs/>
          <w:sz w:val="24"/>
        </w:rPr>
        <w:t>the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3F08D0">
        <w:rPr>
          <w:rFonts w:ascii="Times New Roman" w:hAnsi="Times New Roman"/>
          <w:b/>
        </w:rPr>
        <w:t>Ditan</w:t>
      </w:r>
      <w:r>
        <w:rPr>
          <w:rFonts w:ascii="Times New Roman" w:hAnsi="Times New Roman"/>
          <w:b/>
        </w:rPr>
        <w:t xml:space="preserve"> </w:t>
      </w:r>
      <w:r w:rsidRPr="003F08D0">
        <w:rPr>
          <w:rFonts w:ascii="Times New Roman" w:hAnsi="Times New Roman"/>
          <w:b/>
        </w:rPr>
        <w:t>study</w:t>
      </w:r>
    </w:p>
    <w:tbl>
      <w:tblPr>
        <w:tblStyle w:val="TableNormal1"/>
        <w:tblW w:w="13372" w:type="dxa"/>
        <w:jc w:val="center"/>
        <w:tblInd w:w="0" w:type="dxa"/>
        <w:tblBorders>
          <w:top w:val="single" w:sz="12" w:space="0" w:color="4F81BD" w:themeColor="accent1"/>
          <w:bottom w:val="single" w:sz="12" w:space="0" w:color="4F81BD" w:themeColor="accent1"/>
        </w:tblBorders>
        <w:tblLayout w:type="fixed"/>
        <w:tblLook w:val="04A0"/>
      </w:tblPr>
      <w:tblGrid>
        <w:gridCol w:w="1991"/>
        <w:gridCol w:w="1897"/>
        <w:gridCol w:w="1755"/>
        <w:gridCol w:w="878"/>
        <w:gridCol w:w="2066"/>
        <w:gridCol w:w="1778"/>
        <w:gridCol w:w="922"/>
        <w:gridCol w:w="2085"/>
      </w:tblGrid>
      <w:tr w:rsidR="00457095" w:rsidTr="008A5C39">
        <w:trPr>
          <w:trHeight w:val="534"/>
          <w:jc w:val="center"/>
        </w:trPr>
        <w:tc>
          <w:tcPr>
            <w:tcW w:w="199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453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457095" w:rsidRDefault="00457095" w:rsidP="008A5C3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Non-HCC</w:t>
            </w:r>
          </w:p>
        </w:tc>
        <w:tc>
          <w:tcPr>
            <w:tcW w:w="4766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HCC</w:t>
            </w:r>
          </w:p>
        </w:tc>
        <w:tc>
          <w:tcPr>
            <w:tcW w:w="208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53766F">
              <w:rPr>
                <w:rFonts w:ascii="Times New Roman" w:hAnsi="Times New Roman" w:cs="Times New Roman"/>
                <w:b/>
                <w:i/>
                <w:spacing w:val="-1"/>
              </w:rPr>
              <w:t>p</w:t>
            </w:r>
            <w:r>
              <w:rPr>
                <w:rFonts w:ascii="Times New Roman" w:hAnsi="Times New Roman" w:cs="Times New Roman"/>
                <w:b/>
                <w:spacing w:val="-1"/>
              </w:rPr>
              <w:t>-value</w:t>
            </w:r>
          </w:p>
          <w:p w:rsidR="00457095" w:rsidRDefault="00457095" w:rsidP="0045709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(non-PVT</w:t>
            </w:r>
            <w:r>
              <w:rPr>
                <w:rFonts w:ascii="Times New Roman" w:hAnsi="Times New Roman" w:cs="Times New Roman"/>
                <w:b/>
                <w:iCs/>
                <w:spacing w:val="-1"/>
              </w:rPr>
              <w:t xml:space="preserve"> in two sub-groups</w:t>
            </w:r>
            <w:r>
              <w:rPr>
                <w:rFonts w:ascii="Times New Roman" w:hAnsi="Times New Roman" w:cs="Times New Roman"/>
                <w:b/>
                <w:spacing w:val="-1"/>
              </w:rPr>
              <w:t>)</w:t>
            </w:r>
          </w:p>
        </w:tc>
      </w:tr>
      <w:tr w:rsidR="00457095" w:rsidTr="008A5C39">
        <w:trPr>
          <w:trHeight w:val="658"/>
          <w:jc w:val="center"/>
        </w:trPr>
        <w:tc>
          <w:tcPr>
            <w:tcW w:w="199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Variables</w:t>
            </w:r>
          </w:p>
        </w:tc>
        <w:tc>
          <w:tcPr>
            <w:tcW w:w="189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</w:rPr>
              <w:t>non-PVT</w:t>
            </w:r>
          </w:p>
          <w:p w:rsidR="00457095" w:rsidRDefault="00457095" w:rsidP="0045709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2"/>
                <w:position w:val="2"/>
              </w:rPr>
              <w:t>(n = 71)</w:t>
            </w:r>
          </w:p>
        </w:tc>
        <w:tc>
          <w:tcPr>
            <w:tcW w:w="175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PVT</w:t>
            </w:r>
          </w:p>
          <w:p w:rsidR="00457095" w:rsidRDefault="00457095" w:rsidP="0045709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2"/>
                <w:position w:val="2"/>
              </w:rPr>
              <w:t>(n = 20)</w:t>
            </w:r>
          </w:p>
        </w:tc>
        <w:tc>
          <w:tcPr>
            <w:tcW w:w="8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53766F">
              <w:rPr>
                <w:rFonts w:ascii="Times New Roman" w:hAnsi="Times New Roman" w:cs="Times New Roman"/>
                <w:b/>
                <w:i/>
                <w:spacing w:val="-1"/>
              </w:rPr>
              <w:t>p</w:t>
            </w:r>
            <w:r>
              <w:rPr>
                <w:rFonts w:ascii="Times New Roman" w:hAnsi="Times New Roman" w:cs="Times New Roman"/>
                <w:b/>
                <w:spacing w:val="-1"/>
              </w:rPr>
              <w:t>-value</w:t>
            </w:r>
          </w:p>
        </w:tc>
        <w:tc>
          <w:tcPr>
            <w:tcW w:w="206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non-PVT</w:t>
            </w:r>
          </w:p>
          <w:p w:rsidR="00457095" w:rsidRDefault="00457095" w:rsidP="0045709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2"/>
                <w:position w:val="2"/>
              </w:rPr>
              <w:t>(n = 35)</w:t>
            </w:r>
          </w:p>
        </w:tc>
        <w:tc>
          <w:tcPr>
            <w:tcW w:w="17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PVT</w:t>
            </w:r>
          </w:p>
          <w:p w:rsidR="00457095" w:rsidRDefault="00457095" w:rsidP="0045709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2"/>
                <w:position w:val="2"/>
              </w:rPr>
              <w:t>(n = 19)</w:t>
            </w:r>
          </w:p>
        </w:tc>
        <w:tc>
          <w:tcPr>
            <w:tcW w:w="92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53766F">
              <w:rPr>
                <w:rFonts w:ascii="Times New Roman" w:hAnsi="Times New Roman" w:cs="Times New Roman"/>
                <w:b/>
                <w:i/>
                <w:spacing w:val="-1"/>
              </w:rPr>
              <w:t>p</w:t>
            </w:r>
            <w:r>
              <w:rPr>
                <w:rFonts w:ascii="Times New Roman" w:hAnsi="Times New Roman" w:cs="Times New Roman"/>
                <w:b/>
                <w:spacing w:val="-1"/>
              </w:rPr>
              <w:t>-value</w:t>
            </w:r>
          </w:p>
        </w:tc>
        <w:tc>
          <w:tcPr>
            <w:tcW w:w="2085" w:type="dxa"/>
            <w:vMerge/>
            <w:tcBorders>
              <w:top w:val="nil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single" w:sz="12" w:space="0" w:color="000000" w:themeColor="text1"/>
              <w:bottom w:val="nil"/>
            </w:tcBorders>
            <w:shd w:val="clear" w:color="auto" w:fill="FFFFFF"/>
            <w:vAlign w:val="center"/>
          </w:tcPr>
          <w:p w:rsidR="00457095" w:rsidRDefault="00457095" w:rsidP="008A5C39">
            <w:r>
              <w:rPr>
                <w:rFonts w:ascii="Times New Roman" w:hAnsi="Times New Roman" w:cs="Times New Roman"/>
                <w:b/>
                <w:spacing w:val="-1"/>
              </w:rPr>
              <w:t>Routine blood test</w:t>
            </w:r>
          </w:p>
        </w:tc>
        <w:tc>
          <w:tcPr>
            <w:tcW w:w="1897" w:type="dxa"/>
            <w:tcBorders>
              <w:top w:val="single" w:sz="12" w:space="0" w:color="000000" w:themeColor="text1"/>
              <w:bottom w:val="nil"/>
            </w:tcBorders>
            <w:shd w:val="clear" w:color="auto" w:fill="FFFFFF"/>
            <w:vAlign w:val="center"/>
          </w:tcPr>
          <w:p w:rsidR="00457095" w:rsidRDefault="00457095" w:rsidP="008A5C3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55" w:type="dxa"/>
            <w:tcBorders>
              <w:top w:val="single" w:sz="12" w:space="0" w:color="000000" w:themeColor="text1"/>
              <w:bottom w:val="nil"/>
            </w:tcBorders>
            <w:shd w:val="clear" w:color="auto" w:fill="FFFFFF"/>
            <w:vAlign w:val="center"/>
          </w:tcPr>
          <w:p w:rsidR="00457095" w:rsidRDefault="00457095" w:rsidP="008A5C3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78" w:type="dxa"/>
            <w:tcBorders>
              <w:top w:val="single" w:sz="12" w:space="0" w:color="000000" w:themeColor="text1"/>
              <w:bottom w:val="nil"/>
            </w:tcBorders>
            <w:shd w:val="clear" w:color="auto" w:fill="FFFFFF"/>
            <w:vAlign w:val="center"/>
          </w:tcPr>
          <w:p w:rsidR="00457095" w:rsidRDefault="00457095" w:rsidP="008A5C3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066" w:type="dxa"/>
            <w:tcBorders>
              <w:top w:val="single" w:sz="12" w:space="0" w:color="000000" w:themeColor="text1"/>
              <w:bottom w:val="nil"/>
            </w:tcBorders>
            <w:shd w:val="clear" w:color="auto" w:fill="FFFFFF"/>
            <w:vAlign w:val="center"/>
          </w:tcPr>
          <w:p w:rsidR="00457095" w:rsidRDefault="00457095" w:rsidP="008A5C3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78" w:type="dxa"/>
            <w:tcBorders>
              <w:top w:val="single" w:sz="12" w:space="0" w:color="000000" w:themeColor="text1"/>
              <w:bottom w:val="nil"/>
            </w:tcBorders>
            <w:shd w:val="clear" w:color="auto" w:fill="FFFFFF"/>
            <w:vAlign w:val="center"/>
          </w:tcPr>
          <w:p w:rsidR="00457095" w:rsidRDefault="00457095" w:rsidP="008A5C3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22" w:type="dxa"/>
            <w:tcBorders>
              <w:top w:val="single" w:sz="12" w:space="0" w:color="000000" w:themeColor="text1"/>
              <w:bottom w:val="nil"/>
            </w:tcBorders>
            <w:shd w:val="clear" w:color="auto" w:fill="FFFFFF"/>
            <w:vAlign w:val="center"/>
          </w:tcPr>
          <w:p w:rsidR="00457095" w:rsidRDefault="00457095" w:rsidP="008A5C3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12" w:space="0" w:color="000000" w:themeColor="text1"/>
              <w:bottom w:val="nil"/>
            </w:tcBorders>
            <w:shd w:val="clear" w:color="auto" w:fill="FFFFFF"/>
            <w:vAlign w:val="center"/>
          </w:tcPr>
          <w:p w:rsidR="00457095" w:rsidRDefault="00457095" w:rsidP="008A5C3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WBC (10^9/L)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3.9 [2.7-5.3]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3.3 [2.0-4.1]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0.035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3.5 [2.6-5.2]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3.5 [2.7-5.1]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0.863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0.911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RBC (10^12/L)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4.1 [3.5-4.6]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3.7[3.4-4.1]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0.061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4.0 [3.4-4.6]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3.7 [2.8-4.1]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0.087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0.605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HGB (g/L)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131.3 [113.4-142.5]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113.0 [88.5-128.2]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0.004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127.8 [101.0-142.2]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117.0 [95.0-130.0]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0.084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0.615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PLT (10^9/L)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77.4 [46.1-135.5]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72.7 [37.6-171.6]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0.873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80.0 [55.0-115.0]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93.0 [49.0-117.0]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0.921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0.876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Liver function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ALT (U/L)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23.8 [17.2-40.9]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24.1 [21.3-26.7]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0.481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23.4 [17.6-34.2]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37.1 [20.8-61.1]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0.060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0.665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AST (U/L)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28.7 [22.2-46.0]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29.8 [24.1-39.3]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0.958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28.7 [22.6-72.7]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54.3 [34.0-103.1]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0.040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0.354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ALP (U/L)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84.7 [67.4-124.5]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76.5 [57.9-98.0]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0.121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88.8 [69.5-127.5]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144.4 [79.2-237.3]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0.058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0.597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ALB (g/L)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36.4 ± 6.7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34.9 ± 5.7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0.357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36.0 ± 5.8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33.3 ± 5.6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0.108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0.736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TBil (μmol/L)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19.4 [11.5-41.9]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21.6 [13.8-33.0]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0.852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18.4 [11.9-32.2]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30.8 [20.4-66.9]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0.013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0.973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γ-GT (U/L)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26.6 [16.2-54.4]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28 [16.6-45.8]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0.966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41.3 [19.1-119.1]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128.0 [36.3-214.5]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0.108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0.027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CHE (U/L)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4911 ± 2271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4193 ± 1702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0.193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4622 ± 2134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3083 ± 1940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0.012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0.530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GLU (mmol/L)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5.40 [4.8-6.5]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5.1 [4.6-6.0]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0.317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5.3 [5.0-6.7]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6.1 [5.0-7.9]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0.298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0.708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Coagulation 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PT (s)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13.6 [12.1-15.9]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14.2 [12.7-16.7]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0.335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13.1 [11.9-14.9]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14.7 [13.6-17.5]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0.020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0.343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PTA (%)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74 ± 23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70 ± 17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0.554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80 ± 18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67 ± 18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0.016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0.140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INR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1.2 [1.1-1.4]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1.3 [1.1-1.5]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0.262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1.2 [1.1-1.3]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1.4 [1.2-1.5]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0.018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0.236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APTT (s)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34.7 [30.8-37.5]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32.4 [29.3-36.4]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0.240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31.6 [29.7-33.4]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31.7 [28.2-36.4]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0.779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0.003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TT (s)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17.5 [16.5-19.1]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18.6 [17.2-20.1]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0.157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17.6 [16.7-18.5]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18.9 [16.7-21.6]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0.197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0.566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FIB (g/L)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207 ± 65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194 ± 55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0.437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235 ± 55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226 ± 115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0.763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0.044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Renal function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UREA (mmol/L)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4.9 [4.2-5.7]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5.2 [4.6-6.7]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0.202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5.7 [4.0-6.8]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5.9 [4.6-7.3]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0.651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0.116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CREA (μmol/L)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67.7 [59.0-74.0]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68.0 [58.9-76.3]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0.938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68.1 [62.0-79.5]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71.0 [59.4-88.9]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0.772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0.401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URCA (mmol/L)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279 [247-342]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312 [262-350]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0.485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322 [252-368]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300 [232-339]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0.431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0.181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Electrolytes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K (mmol/L)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3.8 [3.6-4.0]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3.7 [3.5-4.0]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0.335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3.8 [3.7-4.2]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3.7 [3.5-4.1]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0.410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0.197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Na (mmol/L)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141.6 [140.2-143.2]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141.7 [140.1-143.2]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0.937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141.2 [139.1-142.6]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139.1 [135.0-143.7]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0.644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0.208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Cl (mmol/L)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106.1 [104.6-108.0]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107.2 [104.9-108.8]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0.264</w:t>
            </w: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106.1 [103.7-107.4]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105.5 [98.1-107.5]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0.385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0.518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Others</w:t>
            </w:r>
          </w:p>
        </w:tc>
        <w:tc>
          <w:tcPr>
            <w:tcW w:w="1897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AFP (ng/mL)</w:t>
            </w:r>
          </w:p>
        </w:tc>
        <w:tc>
          <w:tcPr>
            <w:tcW w:w="1897" w:type="dxa"/>
            <w:tcBorders>
              <w:top w:val="nil"/>
              <w:bottom w:val="nil"/>
            </w:tcBorders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3.3 [1.9-6.6]</w:t>
            </w:r>
          </w:p>
        </w:tc>
        <w:tc>
          <w:tcPr>
            <w:tcW w:w="1755" w:type="dxa"/>
            <w:tcBorders>
              <w:top w:val="nil"/>
              <w:bottom w:val="nil"/>
            </w:tcBorders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1.9 [1.6-3.1]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0.007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11.4 [3.0-137.0]</w:t>
            </w:r>
          </w:p>
        </w:tc>
        <w:tc>
          <w:tcPr>
            <w:tcW w:w="1778" w:type="dxa"/>
            <w:tcBorders>
              <w:top w:val="nil"/>
              <w:bottom w:val="nil"/>
            </w:tcBorders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178.1 [9.0-1602.0]</w:t>
            </w: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0.082</w:t>
            </w: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0.000</w:t>
            </w:r>
          </w:p>
        </w:tc>
      </w:tr>
      <w:tr w:rsidR="0045709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HBV-DNA (IU/mL)</w:t>
            </w:r>
          </w:p>
        </w:tc>
        <w:tc>
          <w:tcPr>
            <w:tcW w:w="1897" w:type="dxa"/>
            <w:tcBorders>
              <w:top w:val="nil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20 [0-46]</w:t>
            </w:r>
          </w:p>
        </w:tc>
        <w:tc>
          <w:tcPr>
            <w:tcW w:w="1755" w:type="dxa"/>
            <w:tcBorders>
              <w:top w:val="nil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10 [0-21]</w:t>
            </w:r>
          </w:p>
        </w:tc>
        <w:tc>
          <w:tcPr>
            <w:tcW w:w="878" w:type="dxa"/>
            <w:tcBorders>
              <w:top w:val="nil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0.162</w:t>
            </w:r>
          </w:p>
        </w:tc>
        <w:tc>
          <w:tcPr>
            <w:tcW w:w="2066" w:type="dxa"/>
            <w:tcBorders>
              <w:top w:val="nil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20 [20-89]</w:t>
            </w:r>
          </w:p>
        </w:tc>
        <w:tc>
          <w:tcPr>
            <w:tcW w:w="1778" w:type="dxa"/>
            <w:tcBorders>
              <w:top w:val="nil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20 [20-468]</w:t>
            </w:r>
          </w:p>
        </w:tc>
        <w:tc>
          <w:tcPr>
            <w:tcW w:w="922" w:type="dxa"/>
            <w:tcBorders>
              <w:top w:val="nil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0.324</w:t>
            </w:r>
          </w:p>
        </w:tc>
        <w:tc>
          <w:tcPr>
            <w:tcW w:w="2085" w:type="dxa"/>
            <w:tcBorders>
              <w:top w:val="nil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457095" w:rsidRDefault="00457095" w:rsidP="0045709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0.259</w:t>
            </w:r>
          </w:p>
        </w:tc>
      </w:tr>
    </w:tbl>
    <w:p w:rsidR="00457095" w:rsidRPr="007F64B2" w:rsidRDefault="00457095" w:rsidP="00457095">
      <w:pPr>
        <w:rPr>
          <w:rFonts w:ascii="Times New Roman" w:hAnsi="Times New Roman" w:cs="Times New Roman"/>
          <w:sz w:val="24"/>
        </w:rPr>
      </w:pPr>
      <w:r w:rsidRPr="000C200E">
        <w:rPr>
          <w:rFonts w:ascii="Times New Roman" w:hAnsi="Times New Roman" w:cs="Times New Roman"/>
          <w:sz w:val="24"/>
        </w:rPr>
        <w:t>Data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are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presented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mean</w:t>
      </w:r>
      <w:r>
        <w:rPr>
          <w:rFonts w:ascii="Times New Roman" w:hAnsi="Times New Roman" w:cs="Times New Roman"/>
          <w:sz w:val="24"/>
        </w:rPr>
        <w:t xml:space="preserve"> </w:t>
      </w:r>
      <w:r w:rsidRPr="003F08D0">
        <w:rPr>
          <w:rFonts w:ascii="Times New Roman" w:hAnsi="Times New Roman"/>
          <w:spacing w:val="-1"/>
          <w:sz w:val="24"/>
        </w:rPr>
        <w:t>±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standard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deviation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or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median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(interquartile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range)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for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continuous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variables.</w:t>
      </w:r>
      <w:r>
        <w:rPr>
          <w:rFonts w:ascii="Times New Roman" w:hAnsi="Times New Roman" w:cs="Times New Roman"/>
          <w:sz w:val="24"/>
        </w:rPr>
        <w:t xml:space="preserve"> </w:t>
      </w:r>
      <w:r w:rsidRPr="007F64B2"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d</w:t>
      </w:r>
      <w:r w:rsidRPr="000C200E">
        <w:rPr>
          <w:rFonts w:ascii="Times New Roman" w:hAnsi="Times New Roman" w:cs="Times New Roman"/>
          <w:sz w:val="24"/>
        </w:rPr>
        <w:t>ifferences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between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groups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were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tested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using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one-way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t-tests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(for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normally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distributed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continuous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variables)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or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Mann-Whitney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nonparametric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tests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(for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non-normally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distributed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variables).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two-sided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α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less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than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0.05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was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considered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statistically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significant.</w:t>
      </w:r>
      <w:r>
        <w:rPr>
          <w:rFonts w:ascii="Times New Roman" w:hAnsi="Times New Roman" w:cs="Times New Roman"/>
          <w:sz w:val="24"/>
        </w:rPr>
        <w:t xml:space="preserve"> </w:t>
      </w:r>
      <w:r w:rsidRPr="0053766F"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 w:cs="Times New Roman"/>
          <w:sz w:val="24"/>
        </w:rPr>
        <w:t>-</w:t>
      </w:r>
      <w:r w:rsidRPr="007F64B2">
        <w:rPr>
          <w:rFonts w:ascii="Times New Roman" w:hAnsi="Times New Roman" w:cs="Times New Roman"/>
          <w:sz w:val="24"/>
        </w:rPr>
        <w:t>value</w:t>
      </w:r>
      <w:r>
        <w:rPr>
          <w:rFonts w:ascii="Times New Roman" w:hAnsi="Times New Roman" w:cs="Times New Roman"/>
          <w:sz w:val="24"/>
        </w:rPr>
        <w:t xml:space="preserve">s </w:t>
      </w:r>
      <w:r w:rsidRPr="007F64B2">
        <w:rPr>
          <w:rFonts w:ascii="Times New Roman" w:hAnsi="Times New Roman" w:cs="Times New Roman"/>
          <w:sz w:val="24"/>
        </w:rPr>
        <w:t>&lt;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0.05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are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shown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bold</w:t>
      </w:r>
      <w:r w:rsidRPr="000C200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WBC,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white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blood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cell;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RBC,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red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blood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cell;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HGB,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hemoglobin;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PLT,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platelet;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ALT,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alanine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aminotransferase;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AST,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aspartate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aminotransferase;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ALP,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alkaline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phosphatase;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ALB,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albumin;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TBil,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total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bilirubin;</w:t>
      </w:r>
      <w:r>
        <w:rPr>
          <w:rFonts w:ascii="Times New Roman" w:hAnsi="Times New Roman" w:cs="Times New Roman"/>
          <w:sz w:val="24"/>
        </w:rPr>
        <w:t xml:space="preserve"> </w:t>
      </w:r>
      <w:r w:rsidRPr="003F08D0">
        <w:rPr>
          <w:rFonts w:ascii="Times New Roman" w:hAnsi="Times New Roman"/>
          <w:spacing w:val="-1"/>
          <w:sz w:val="24"/>
        </w:rPr>
        <w:t>γ</w:t>
      </w:r>
      <w:r w:rsidRPr="000C200E">
        <w:rPr>
          <w:rFonts w:ascii="Times New Roman" w:hAnsi="Times New Roman" w:cs="Times New Roman"/>
          <w:sz w:val="24"/>
        </w:rPr>
        <w:t>-GT,</w:t>
      </w:r>
      <w:r>
        <w:rPr>
          <w:rFonts w:ascii="Times New Roman" w:hAnsi="Times New Roman" w:cs="Times New Roman"/>
          <w:sz w:val="24"/>
        </w:rPr>
        <w:t xml:space="preserve"> </w:t>
      </w:r>
      <w:r w:rsidRPr="003F08D0">
        <w:rPr>
          <w:rFonts w:ascii="Times New Roman" w:hAnsi="Times New Roman"/>
          <w:spacing w:val="-1"/>
          <w:sz w:val="24"/>
        </w:rPr>
        <w:t>γ</w:t>
      </w:r>
      <w:r w:rsidRPr="000C200E">
        <w:rPr>
          <w:rFonts w:ascii="Times New Roman" w:hAnsi="Times New Roman" w:cs="Times New Roman"/>
          <w:sz w:val="24"/>
        </w:rPr>
        <w:t>-glutamyl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transpeptidase;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CHE,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cholinesterase;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GLU,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glucose;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PT,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prothrombin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time;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PTA,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prothrombin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activity;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INR,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international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normalized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ratio;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APTT,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activated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partial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thromboplastin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time;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TT,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thrombin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time;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FIB,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fibrinogen;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UREA,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urea;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CREA,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creatinine;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URCA,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uric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acid;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K,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OLE_LINK25"/>
      <w:r w:rsidRPr="000C200E">
        <w:rPr>
          <w:rFonts w:ascii="Times New Roman" w:hAnsi="Times New Roman" w:cs="Times New Roman"/>
          <w:sz w:val="24"/>
        </w:rPr>
        <w:t>potassium</w:t>
      </w:r>
      <w:bookmarkEnd w:id="0"/>
      <w:r w:rsidRPr="000C200E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Na,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sodium;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Cl,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chloride;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AFP,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alpha-fetoprotein;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HBV-DNA,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hepatitis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virus-DNA</w:t>
      </w:r>
      <w:r w:rsidRPr="007F64B2">
        <w:rPr>
          <w:rFonts w:ascii="Times New Roman" w:hAnsi="Times New Roman" w:cs="Times New Roman"/>
          <w:sz w:val="24"/>
        </w:rPr>
        <w:t>.</w:t>
      </w:r>
    </w:p>
    <w:p w:rsidR="00457095" w:rsidRDefault="00457095" w:rsidP="00457095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80D24" w:rsidRDefault="00C80D24"/>
    <w:sectPr w:rsidR="00C80D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457095"/>
    <w:rsid w:val="00457095"/>
    <w:rsid w:val="00C8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semiHidden/>
    <w:unhideWhenUsed/>
    <w:qFormat/>
    <w:rsid w:val="00457095"/>
    <w:pPr>
      <w:spacing w:after="0" w:line="240" w:lineRule="auto"/>
    </w:pPr>
    <w:rPr>
      <w:rFonts w:ascii="Arial" w:eastAsia="宋体" w:hAnsi="Arial" w:cs="Arial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2024-10-29T00:08:00Z</dcterms:created>
  <dcterms:modified xsi:type="dcterms:W3CDTF">2024-10-29T00:08:00Z</dcterms:modified>
</cp:coreProperties>
</file>