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BA" w:rsidRDefault="002C47BA" w:rsidP="002C47B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Pr="00E36DFF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2</w:t>
      </w:r>
      <w:r w:rsidRPr="00B27C34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Demographic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F08D0">
        <w:rPr>
          <w:rFonts w:ascii="Times New Roman" w:hAnsi="Times New Roman"/>
          <w:b/>
        </w:rPr>
        <w:t>and</w:t>
      </w:r>
      <w:r>
        <w:rPr>
          <w:rFonts w:ascii="Times New Roman" w:hAnsi="Times New Roman"/>
          <w:b/>
        </w:rPr>
        <w:t xml:space="preserve"> </w:t>
      </w:r>
      <w:r w:rsidRPr="003F08D0">
        <w:rPr>
          <w:rFonts w:ascii="Times New Roman" w:hAnsi="Times New Roman"/>
          <w:b/>
        </w:rPr>
        <w:t>clinical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characteristics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of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sub-groups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F08D0"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</w:rPr>
        <w:t xml:space="preserve"> </w:t>
      </w:r>
      <w:r w:rsidRPr="000C200E">
        <w:rPr>
          <w:rFonts w:ascii="Times New Roman" w:hAnsi="Times New Roman" w:cs="Times New Roman"/>
          <w:b/>
          <w:bCs/>
          <w:sz w:val="24"/>
        </w:rPr>
        <w:t>the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F08D0">
        <w:rPr>
          <w:rFonts w:ascii="Times New Roman" w:hAnsi="Times New Roman"/>
          <w:b/>
        </w:rPr>
        <w:t>Ditan</w:t>
      </w:r>
      <w:r>
        <w:rPr>
          <w:rFonts w:ascii="Times New Roman" w:hAnsi="Times New Roman"/>
          <w:b/>
        </w:rPr>
        <w:t xml:space="preserve"> </w:t>
      </w:r>
      <w:r w:rsidRPr="003F08D0">
        <w:rPr>
          <w:rFonts w:ascii="Times New Roman" w:hAnsi="Times New Roman"/>
          <w:b/>
        </w:rPr>
        <w:t>study</w:t>
      </w:r>
    </w:p>
    <w:p w:rsidR="002C47BA" w:rsidRPr="00B27C34" w:rsidRDefault="002C47BA" w:rsidP="002C47BA">
      <w:pPr>
        <w:jc w:val="center"/>
        <w:rPr>
          <w:sz w:val="24"/>
        </w:rPr>
      </w:pPr>
    </w:p>
    <w:tbl>
      <w:tblPr>
        <w:tblStyle w:val="TableNormal1"/>
        <w:tblW w:w="11882" w:type="dxa"/>
        <w:jc w:val="center"/>
        <w:tblInd w:w="0" w:type="dxa"/>
        <w:tblBorders>
          <w:top w:val="single" w:sz="12" w:space="0" w:color="4F81BD" w:themeColor="accent1"/>
          <w:bottom w:val="single" w:sz="12" w:space="0" w:color="4F81BD" w:themeColor="accent1"/>
          <w:insideV w:val="dotted" w:sz="6" w:space="0" w:color="auto"/>
        </w:tblBorders>
        <w:tblLayout w:type="fixed"/>
        <w:tblLook w:val="04A0"/>
      </w:tblPr>
      <w:tblGrid>
        <w:gridCol w:w="2828"/>
        <w:gridCol w:w="1496"/>
        <w:gridCol w:w="1347"/>
        <w:gridCol w:w="840"/>
        <w:gridCol w:w="1338"/>
        <w:gridCol w:w="1130"/>
        <w:gridCol w:w="840"/>
        <w:gridCol w:w="2063"/>
      </w:tblGrid>
      <w:tr w:rsidR="002C47BA" w:rsidTr="008A5C39">
        <w:trPr>
          <w:trHeight w:val="431"/>
          <w:jc w:val="center"/>
        </w:trPr>
        <w:tc>
          <w:tcPr>
            <w:tcW w:w="2828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Non-HCC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HCC</w:t>
            </w:r>
          </w:p>
        </w:tc>
        <w:tc>
          <w:tcPr>
            <w:tcW w:w="2063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3766F">
              <w:rPr>
                <w:rFonts w:ascii="Times New Roman" w:hAnsi="Times New Roman" w:cs="Times New Roman"/>
                <w:b/>
                <w:i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spacing w:val="-1"/>
              </w:rPr>
              <w:t>-value</w:t>
            </w:r>
          </w:p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(non-PVT</w:t>
            </w:r>
            <w:r>
              <w:rPr>
                <w:rFonts w:ascii="Times New Roman" w:hAnsi="Times New Roman" w:cs="Times New Roman"/>
                <w:b/>
                <w:iCs/>
                <w:spacing w:val="-1"/>
              </w:rPr>
              <w:t xml:space="preserve"> in two sub-groups</w:t>
            </w:r>
            <w:r>
              <w:rPr>
                <w:rFonts w:ascii="Times New Roman" w:hAnsi="Times New Roman" w:cs="Times New Roman"/>
                <w:b/>
                <w:spacing w:val="-1"/>
              </w:rPr>
              <w:t>)</w:t>
            </w:r>
          </w:p>
        </w:tc>
      </w:tr>
      <w:tr w:rsidR="002C47BA" w:rsidTr="008A5C39">
        <w:trPr>
          <w:trHeight w:val="512"/>
          <w:jc w:val="center"/>
        </w:trPr>
        <w:tc>
          <w:tcPr>
            <w:tcW w:w="2828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Variables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non-PVT</w:t>
            </w:r>
          </w:p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71)</w:t>
            </w:r>
          </w:p>
        </w:tc>
        <w:tc>
          <w:tcPr>
            <w:tcW w:w="134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PVT</w:t>
            </w:r>
          </w:p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20)</w:t>
            </w:r>
          </w:p>
        </w:tc>
        <w:tc>
          <w:tcPr>
            <w:tcW w:w="8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3766F">
              <w:rPr>
                <w:rFonts w:ascii="Times New Roman" w:hAnsi="Times New Roman" w:cs="Times New Roman"/>
                <w:b/>
                <w:i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spacing w:val="-1"/>
              </w:rPr>
              <w:t>-value</w:t>
            </w:r>
          </w:p>
        </w:tc>
        <w:tc>
          <w:tcPr>
            <w:tcW w:w="133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non-PVT</w:t>
            </w:r>
          </w:p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35)</w:t>
            </w:r>
          </w:p>
        </w:tc>
        <w:tc>
          <w:tcPr>
            <w:tcW w:w="11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PVT</w:t>
            </w:r>
          </w:p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19)</w:t>
            </w:r>
          </w:p>
        </w:tc>
        <w:tc>
          <w:tcPr>
            <w:tcW w:w="8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3766F">
              <w:rPr>
                <w:rFonts w:ascii="Times New Roman" w:hAnsi="Times New Roman" w:cs="Times New Roman"/>
                <w:b/>
                <w:i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spacing w:val="-1"/>
              </w:rPr>
              <w:t>-value</w:t>
            </w:r>
          </w:p>
        </w:tc>
        <w:tc>
          <w:tcPr>
            <w:tcW w:w="2063" w:type="dxa"/>
            <w:vMerge/>
            <w:tcBorders>
              <w:top w:val="nil"/>
              <w:left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single" w:sz="12" w:space="0" w:color="000000" w:themeColor="text1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Age, years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53 ± 10</w:t>
            </w:r>
          </w:p>
        </w:tc>
        <w:tc>
          <w:tcPr>
            <w:tcW w:w="134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56 ± 12</w:t>
            </w:r>
          </w:p>
        </w:tc>
        <w:tc>
          <w:tcPr>
            <w:tcW w:w="84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0.280</w:t>
            </w:r>
          </w:p>
        </w:tc>
        <w:tc>
          <w:tcPr>
            <w:tcW w:w="133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60 ± 6</w:t>
            </w:r>
          </w:p>
        </w:tc>
        <w:tc>
          <w:tcPr>
            <w:tcW w:w="113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58 ± 7</w:t>
            </w:r>
          </w:p>
        </w:tc>
        <w:tc>
          <w:tcPr>
            <w:tcW w:w="84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0.173</w:t>
            </w:r>
          </w:p>
        </w:tc>
        <w:tc>
          <w:tcPr>
            <w:tcW w:w="2063" w:type="dxa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0.000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Gender, male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45 (63.4%)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 (65.0%)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0.894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29 (82.9%)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17 (89.5%)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0.801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0.040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Child-Pugh score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 [5-9]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 [7-9]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0.183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 [5-7]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9 [7-11]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0.006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0.360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Child-Pugh grade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666FF9">
              <w:rPr>
                <w:rFonts w:ascii="Times New Roman" w:hAnsi="Times New Roman" w:cs="Times New Roman"/>
                <w:b/>
                <w:spacing w:val="-1"/>
              </w:rPr>
              <w:t>0.005</w:t>
            </w:r>
            <w:r>
              <w:rPr>
                <w:rFonts w:ascii="Times New Roman" w:hAnsi="Times New Roman" w:cs="Times New Roman"/>
                <w:b/>
                <w:spacing w:val="-1"/>
              </w:rP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0.039*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0.853*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31 (43.7%)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 (20.0%)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0.055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17 (48.6%)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 (15.8%)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0.017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0.633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25 (35.2%)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15 (75.0%)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12 (34.3%)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9 (47.4%)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0.346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0.925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15 (21.1%)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 (5.0%)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0.094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 (17.1%)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 (36.8%)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0.106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0.628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Hepatocellular Carcinoma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 (0.0%)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 (0.0%)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 w:hint="eastAsia"/>
                <w:bCs/>
                <w:spacing w:val="-1"/>
              </w:rPr>
              <w:t>–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35 (100.0%)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19 (100.0%)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 w:hint="eastAsia"/>
                <w:bCs/>
                <w:spacing w:val="-1"/>
              </w:rPr>
              <w:t>–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0.000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highlight w:val="yellow"/>
              </w:rPr>
            </w:pPr>
            <w:r w:rsidRPr="00666FF9">
              <w:rPr>
                <w:rFonts w:ascii="Times New Roman" w:hAnsi="Times New Roman" w:cs="Times New Roman"/>
                <w:bCs/>
                <w:spacing w:val="-1"/>
              </w:rPr>
              <w:t>Varices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34 (47.9%)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18 (90.0%)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25 (71.4%)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 (68.4%)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0.817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0.022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History of </w:t>
            </w:r>
            <w:r w:rsidRPr="00666FF9">
              <w:rPr>
                <w:rFonts w:ascii="Times New Roman" w:hAnsi="Times New Roman" w:cs="Times New Roman"/>
                <w:bCs/>
                <w:spacing w:val="-1"/>
              </w:rPr>
              <w:t>Varices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66FF9">
              <w:rPr>
                <w:rFonts w:ascii="Times New Roman" w:hAnsi="Times New Roman" w:cs="Times New Roman"/>
                <w:bCs/>
                <w:spacing w:val="-1"/>
              </w:rPr>
              <w:t>bleeding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8A5C39">
            <w:pPr>
              <w:spacing w:before="50" w:line="198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 (14.1%)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 (30.0%)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0.187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 (11.4%)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 (21.1%)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0.583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0.940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Ascites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31 (43.7%)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 (65.0%)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0.092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15 (42.9%)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15 (78.9%)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0.011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0.937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Spontaneous bacterial peritonitis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 (8.5%)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 (5.0%)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0.971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 (17.1%)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 (21.1%)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0.316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Hepatic encephalopathy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 (8.5%)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 (10.0%)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1.000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 (0.0%)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 (5.3%)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0.352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0.186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Diabetes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11 (15.5%)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 (10.0%)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0.796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 (20.0%)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 (10.5%)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0.610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0.561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Hypertension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 (19.7%)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 (10.0%)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0.499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 (20.0%)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 (5.3%)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0.292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0.973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Splenomegaly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 (18.3%)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 (20.0%)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1.000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 (17.1%)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 (15.8%)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0.883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Hyper-spleen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36 (50.7%)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9 (45.0%)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0.652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22 (62.9%)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 (68.4%)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0.683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0.237</w:t>
            </w:r>
          </w:p>
        </w:tc>
      </w:tr>
      <w:tr w:rsidR="002C47BA" w:rsidTr="008A5C39">
        <w:trPr>
          <w:trHeight w:val="306"/>
          <w:jc w:val="center"/>
        </w:trPr>
        <w:tc>
          <w:tcPr>
            <w:tcW w:w="2828" w:type="dxa"/>
            <w:tcBorders>
              <w:top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Splenectomy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0" w:line="198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 (2.8%)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 (30.0%)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 (0.0%)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 (0.0%)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 w:hint="eastAsia"/>
                <w:bCs/>
                <w:spacing w:val="-1"/>
              </w:rPr>
              <w:t>–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2C47BA" w:rsidRDefault="002C47BA" w:rsidP="002C47BA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1.000</w:t>
            </w:r>
          </w:p>
        </w:tc>
      </w:tr>
    </w:tbl>
    <w:p w:rsidR="002C47BA" w:rsidRDefault="002C47BA" w:rsidP="002C47BA">
      <w:pPr>
        <w:rPr>
          <w:rFonts w:ascii="Times New Roman" w:hAnsi="Times New Roman" w:cs="Times New Roman"/>
          <w:sz w:val="24"/>
        </w:rPr>
      </w:pPr>
      <w:r w:rsidRPr="000C200E"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presented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mean</w:t>
      </w:r>
      <w:r>
        <w:rPr>
          <w:rFonts w:ascii="Times New Roman" w:hAnsi="Times New Roman" w:cs="Times New Roman"/>
          <w:sz w:val="24"/>
        </w:rPr>
        <w:t xml:space="preserve"> </w:t>
      </w:r>
      <w:r w:rsidRPr="003F08D0">
        <w:rPr>
          <w:spacing w:val="-1"/>
          <w:sz w:val="24"/>
        </w:rPr>
        <w:t>±</w:t>
      </w:r>
      <w:r>
        <w:rPr>
          <w:spacing w:val="-1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standard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deviation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continuous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variables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number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(%)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categorical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variables.</w:t>
      </w:r>
      <w:r>
        <w:rPr>
          <w:rFonts w:ascii="Times New Roman" w:hAnsi="Times New Roman" w:cs="Times New Roman"/>
          <w:sz w:val="24"/>
        </w:rPr>
        <w:t xml:space="preserve"> </w:t>
      </w:r>
      <w:r w:rsidRPr="007F64B2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d</w:t>
      </w:r>
      <w:r w:rsidRPr="000C200E">
        <w:rPr>
          <w:rFonts w:ascii="Times New Roman" w:hAnsi="Times New Roman" w:cs="Times New Roman"/>
          <w:sz w:val="24"/>
        </w:rPr>
        <w:t>ifferences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between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groups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were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tested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using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one-way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t-tests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(for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normally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distributed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continuous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variables)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Chi-square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tests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(for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categorical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variables).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two-sided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α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less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than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0.05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was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considered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statistically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significant.</w:t>
      </w:r>
      <w:r>
        <w:rPr>
          <w:rFonts w:ascii="Times New Roman" w:hAnsi="Times New Roman" w:cs="Times New Roman"/>
          <w:sz w:val="24"/>
        </w:rPr>
        <w:t xml:space="preserve"> </w:t>
      </w:r>
      <w:r w:rsidRPr="0053766F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>-</w:t>
      </w:r>
      <w:r w:rsidRPr="007F64B2">
        <w:rPr>
          <w:rFonts w:ascii="Times New Roman" w:hAnsi="Times New Roman" w:cs="Times New Roman"/>
          <w:sz w:val="24"/>
        </w:rPr>
        <w:t>value</w:t>
      </w:r>
      <w:r>
        <w:rPr>
          <w:rFonts w:ascii="Times New Roman" w:hAnsi="Times New Roman" w:cs="Times New Roman"/>
          <w:sz w:val="24"/>
        </w:rPr>
        <w:t xml:space="preserve">s </w:t>
      </w:r>
      <w:r w:rsidRPr="007F64B2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0.05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shown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bold</w:t>
      </w:r>
      <w:r w:rsidRPr="000C20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53766F">
        <w:rPr>
          <w:rFonts w:ascii="Times New Roman" w:hAnsi="Times New Roman"/>
          <w:i/>
          <w:sz w:val="24"/>
        </w:rPr>
        <w:t>p</w:t>
      </w:r>
      <w:r w:rsidRPr="000C200E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represents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difference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distribution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Child-Pugh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grades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between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groups</w:t>
      </w:r>
      <w:r w:rsidRPr="007F64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  <w:sz w:val="24"/>
        </w:rPr>
        <w:t>HCC,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  <w:sz w:val="24"/>
        </w:rPr>
        <w:t>hepatocellular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  <w:sz w:val="24"/>
        </w:rPr>
        <w:t>carcinoma;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  <w:sz w:val="24"/>
        </w:rPr>
        <w:t>PVT,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  <w:sz w:val="24"/>
        </w:rPr>
        <w:t>portal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  <w:sz w:val="24"/>
        </w:rPr>
        <w:t>vein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A51D4">
        <w:rPr>
          <w:rFonts w:ascii="Times New Roman" w:hAnsi="Times New Roman" w:cs="Times New Roman"/>
          <w:color w:val="000000" w:themeColor="text1"/>
          <w:sz w:val="24"/>
        </w:rPr>
        <w:t>thrombosis.</w:t>
      </w:r>
      <w:r>
        <w:rPr>
          <w:rFonts w:ascii="Times New Roman" w:hAnsi="Times New Roman" w:cs="Times New Roman"/>
          <w:sz w:val="24"/>
        </w:rPr>
        <w:t xml:space="preserve"> </w:t>
      </w:r>
    </w:p>
    <w:p w:rsidR="004F4DC4" w:rsidRDefault="004F4DC4"/>
    <w:sectPr w:rsidR="004F4D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2C47BA"/>
    <w:rsid w:val="002C47BA"/>
    <w:rsid w:val="004F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2C47BA"/>
    <w:pPr>
      <w:spacing w:after="0" w:line="240" w:lineRule="auto"/>
    </w:pPr>
    <w:rPr>
      <w:rFonts w:ascii="Arial" w:eastAsia="宋体" w:hAnsi="Arial" w:cs="Arial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2024-10-29T00:08:00Z</dcterms:created>
  <dcterms:modified xsi:type="dcterms:W3CDTF">2024-10-29T00:08:00Z</dcterms:modified>
</cp:coreProperties>
</file>