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D8" w:rsidRDefault="004F36D8" w:rsidP="004F36D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F36D8" w:rsidRPr="00E36DFF" w:rsidRDefault="004F36D8" w:rsidP="004F36D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E36DFF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eastAsia="宋体" w:hAnsi="Times New Roman" w:cs="Times New Roman"/>
          <w:b/>
        </w:rPr>
        <w:t xml:space="preserve"> </w:t>
      </w:r>
      <w:r w:rsidRPr="00E36DF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Demographic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clinical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characteristics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patients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with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CHB-related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decompensated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cirrhosis</w:t>
      </w:r>
      <w:r>
        <w:rPr>
          <w:rFonts w:ascii="Times New Roman" w:hAnsi="Times New Roman" w:cs="Times New Roman"/>
          <w:b/>
          <w:bCs/>
        </w:rPr>
        <w:t xml:space="preserve"> </w:t>
      </w:r>
      <w:r w:rsidRPr="003F08D0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3F08D0">
        <w:rPr>
          <w:rFonts w:ascii="Times New Roman" w:hAnsi="Times New Roman"/>
          <w:b/>
        </w:rPr>
        <w:t>Ditan</w:t>
      </w:r>
      <w:r>
        <w:rPr>
          <w:rFonts w:ascii="Times New Roman" w:hAnsi="Times New Roman"/>
          <w:b/>
        </w:rPr>
        <w:t xml:space="preserve"> </w:t>
      </w:r>
      <w:r w:rsidRPr="003F08D0">
        <w:rPr>
          <w:rFonts w:ascii="Times New Roman" w:hAnsi="Times New Roman"/>
          <w:b/>
        </w:rPr>
        <w:t>study</w:t>
      </w:r>
    </w:p>
    <w:tbl>
      <w:tblPr>
        <w:tblStyle w:val="TableNormal1"/>
        <w:tblW w:w="5967" w:type="dxa"/>
        <w:jc w:val="center"/>
        <w:tblInd w:w="0" w:type="dxa"/>
        <w:tblBorders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2690"/>
        <w:gridCol w:w="1215"/>
        <w:gridCol w:w="1253"/>
        <w:gridCol w:w="809"/>
      </w:tblGrid>
      <w:tr w:rsidR="004F36D8" w:rsidRPr="00E36DFF" w:rsidTr="008A5C39">
        <w:trPr>
          <w:trHeight w:val="306"/>
          <w:jc w:val="center"/>
        </w:trPr>
        <w:tc>
          <w:tcPr>
            <w:tcW w:w="2690" w:type="dxa"/>
            <w:tcBorders>
              <w:top w:val="single" w:sz="12" w:space="0" w:color="000000" w:themeColor="text1"/>
              <w:left w:val="single" w:sz="2" w:space="0" w:color="DBEEDB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Variables</w:t>
            </w:r>
          </w:p>
        </w:tc>
        <w:tc>
          <w:tcPr>
            <w:tcW w:w="121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Non-PVT</w:t>
            </w:r>
          </w:p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(n</w:t>
            </w:r>
            <w:r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106)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PVT</w:t>
            </w:r>
          </w:p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(n</w:t>
            </w:r>
            <w:r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2"/>
                <w:position w:val="2"/>
                <w:sz w:val="22"/>
                <w:szCs w:val="22"/>
              </w:rPr>
              <w:t>39)</w:t>
            </w:r>
          </w:p>
        </w:tc>
        <w:tc>
          <w:tcPr>
            <w:tcW w:w="80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53766F">
              <w:rPr>
                <w:rFonts w:ascii="Times New Roman" w:hAnsi="Times New Roman" w:cs="Times New Roman"/>
                <w:bCs/>
                <w:i/>
                <w:iCs/>
                <w:spacing w:val="-1"/>
                <w:sz w:val="22"/>
                <w:szCs w:val="22"/>
              </w:rPr>
              <w:t>p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-value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Age,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years</w:t>
            </w:r>
          </w:p>
        </w:tc>
        <w:tc>
          <w:tcPr>
            <w:tcW w:w="121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56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0.472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Gender,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74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(69.8%)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(76.9%)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0.399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highlight w:val="yellow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Child-Pugh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score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[5-9]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[7-9]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0.006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Child-Pugh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grade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0.005*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90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(42.5%)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(15.4%)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0.003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(38.7%)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(64.1%)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0.004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(18.9%)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(20.5%)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0.925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Hepatocellular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Carcinoma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(33.0%)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(48.7%)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0.083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Varices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(55.7%)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(79.5%)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0.009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History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Varices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bleeding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(13.2%)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(25.6%)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0.074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Ascites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(43.4%)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(71.8%)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0.002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Spontaneous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bacterial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peritonitis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(11.3%)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(12.8%)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1.000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Hepatic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encephalopathy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(5.7%)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(7.7%)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0.951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Diabetes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(17.0%)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(10.3%)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0.459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Hypertension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(19.8%)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(7.7%)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0.136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bookmarkStart w:id="0" w:name="_Hlk139125700"/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Splenomegaly</w:t>
            </w:r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(17.9%)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(17.9%)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0.997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Hypersplenism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58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(54.7%)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(56.4%)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0.856</w:t>
            </w:r>
          </w:p>
        </w:tc>
      </w:tr>
      <w:tr w:rsidR="004F36D8" w:rsidRPr="00E36DFF" w:rsidTr="008A5C39">
        <w:tblPrEx>
          <w:tblBorders>
            <w:top w:val="none" w:sz="0" w:space="0" w:color="000000"/>
            <w:left w:val="none" w:sz="0" w:space="0" w:color="000000"/>
          </w:tblBorders>
        </w:tblPrEx>
        <w:trPr>
          <w:trHeight w:val="306"/>
          <w:jc w:val="center"/>
        </w:trPr>
        <w:tc>
          <w:tcPr>
            <w:tcW w:w="2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Splenectomy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(1.9%)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E36D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(15.4%)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4F36D8" w:rsidRPr="00E36DFF" w:rsidRDefault="004F36D8" w:rsidP="004F36D8">
            <w:pPr>
              <w:spacing w:line="360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36DF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0.006</w:t>
            </w:r>
          </w:p>
        </w:tc>
      </w:tr>
    </w:tbl>
    <w:p w:rsidR="004F36D8" w:rsidRPr="00E36DFF" w:rsidRDefault="004F36D8" w:rsidP="004F36D8">
      <w:pPr>
        <w:rPr>
          <w:rFonts w:ascii="Times New Roman" w:hAnsi="Times New Roman" w:cs="Times New Roman"/>
        </w:rPr>
      </w:pPr>
      <w:r w:rsidRPr="000C200E">
        <w:rPr>
          <w:rFonts w:ascii="Times New Roman" w:eastAsia="宋体" w:hAnsi="Times New Roman" w:cs="Times New Roman"/>
        </w:rPr>
        <w:t>Data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are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presented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as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mean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±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standard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deviation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for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continuous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variables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and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number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(%)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for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categorical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variables.</w:t>
      </w:r>
      <w:r>
        <w:rPr>
          <w:rFonts w:ascii="Times New Roman" w:eastAsia="宋体" w:hAnsi="Times New Roman" w:cs="Times New Roman"/>
        </w:rPr>
        <w:t xml:space="preserve"> </w:t>
      </w:r>
      <w:r w:rsidRPr="00E36DFF"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</w:rPr>
        <w:t xml:space="preserve"> d</w:t>
      </w:r>
      <w:r w:rsidRPr="000C200E">
        <w:rPr>
          <w:rFonts w:ascii="Times New Roman" w:eastAsia="宋体" w:hAnsi="Times New Roman" w:cs="Times New Roman"/>
        </w:rPr>
        <w:t>ifferences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between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two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groups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were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tested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using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one-way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t-tests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(for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normally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distributed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continuous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variables)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or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Chi-square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tests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(for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categorical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variables).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two-sided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α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of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less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than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0.05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was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considered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statistically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significant.</w:t>
      </w:r>
      <w:r>
        <w:rPr>
          <w:rFonts w:ascii="Times New Roman" w:eastAsia="宋体" w:hAnsi="Times New Roman" w:cs="Times New Roman"/>
        </w:rPr>
        <w:t xml:space="preserve"> </w:t>
      </w:r>
      <w:r w:rsidRPr="0053766F">
        <w:rPr>
          <w:rFonts w:ascii="Times New Roman" w:hAnsi="Times New Roman"/>
          <w:i/>
        </w:rPr>
        <w:t>p</w:t>
      </w:r>
      <w:r>
        <w:rPr>
          <w:rFonts w:ascii="Times New Roman" w:eastAsia="宋体" w:hAnsi="Times New Roman" w:cs="Times New Roman"/>
        </w:rPr>
        <w:t>-</w:t>
      </w:r>
      <w:r w:rsidRPr="00E36DFF">
        <w:rPr>
          <w:rFonts w:ascii="Times New Roman" w:hAnsi="Times New Roman" w:cs="Times New Roman"/>
        </w:rPr>
        <w:t>value</w:t>
      </w:r>
      <w:r>
        <w:rPr>
          <w:rFonts w:ascii="Times New Roman" w:hAnsi="Times New Roman" w:cs="Times New Roman"/>
        </w:rPr>
        <w:t xml:space="preserve">s </w:t>
      </w:r>
      <w:r w:rsidRPr="00E36DFF">
        <w:rPr>
          <w:rFonts w:ascii="Times New Roman" w:hAnsi="Times New Roman" w:cs="Times New Roman"/>
        </w:rPr>
        <w:t>&lt;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0.05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are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shown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</w:rPr>
        <w:t xml:space="preserve"> bold</w:t>
      </w:r>
      <w:r w:rsidRPr="000C200E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  <w:r w:rsidRPr="0053766F">
        <w:rPr>
          <w:rFonts w:ascii="Times New Roman" w:hAnsi="Times New Roman"/>
          <w:i/>
        </w:rPr>
        <w:t>p</w:t>
      </w:r>
      <w:r w:rsidRPr="000C200E">
        <w:rPr>
          <w:rFonts w:ascii="Times New Roman" w:eastAsia="宋体" w:hAnsi="Times New Roman" w:cs="Times New Roman"/>
        </w:rPr>
        <w:t>*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represents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difference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distribution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of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Child-Pugh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grades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between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two</w:t>
      </w:r>
      <w:r>
        <w:rPr>
          <w:rFonts w:ascii="Times New Roman" w:eastAsia="宋体" w:hAnsi="Times New Roman" w:cs="Times New Roman"/>
        </w:rPr>
        <w:t xml:space="preserve"> </w:t>
      </w:r>
      <w:r w:rsidRPr="000C200E">
        <w:rPr>
          <w:rFonts w:ascii="Times New Roman" w:eastAsia="宋体" w:hAnsi="Times New Roman" w:cs="Times New Roman"/>
        </w:rPr>
        <w:t>groups</w:t>
      </w:r>
      <w:r w:rsidRPr="00E36D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CHB,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chronic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hepatitis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B;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PVT,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portal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vein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</w:rPr>
        <w:t>thrombosis.</w:t>
      </w:r>
    </w:p>
    <w:p w:rsidR="004F36D8" w:rsidRDefault="004F36D8" w:rsidP="004F36D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50523" w:rsidRDefault="00250523"/>
    <w:sectPr w:rsidR="00250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4F36D8"/>
    <w:rsid w:val="00250523"/>
    <w:rsid w:val="004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4F36D8"/>
    <w:pPr>
      <w:spacing w:after="0" w:line="240" w:lineRule="auto"/>
    </w:pPr>
    <w:rPr>
      <w:rFonts w:ascii="Arial" w:eastAsia="宋体" w:hAnsi="Arial" w:cs="Arial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2024-10-29T00:08:00Z</dcterms:created>
  <dcterms:modified xsi:type="dcterms:W3CDTF">2024-10-29T00:08:00Z</dcterms:modified>
</cp:coreProperties>
</file>