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08412" w14:textId="77777777" w:rsidR="00413614" w:rsidRPr="00C9554F" w:rsidRDefault="00413614" w:rsidP="00413614">
      <w:pPr>
        <w:spacing w:after="0" w:line="360" w:lineRule="auto"/>
        <w:jc w:val="both"/>
        <w:outlineLvl w:val="1"/>
        <w:rPr>
          <w:b/>
          <w:bCs/>
        </w:rPr>
      </w:pPr>
      <w:bookmarkStart w:id="0" w:name="_Toc231722427"/>
      <w:r w:rsidRPr="00C9554F">
        <w:rPr>
          <w:b/>
          <w:bCs/>
        </w:rPr>
        <w:t xml:space="preserve">Appendix </w:t>
      </w:r>
      <w:r w:rsidRPr="00C9554F">
        <w:rPr>
          <w:rFonts w:hint="eastAsia"/>
          <w:b/>
          <w:bCs/>
        </w:rPr>
        <w:t>6</w:t>
      </w:r>
      <w:r w:rsidRPr="00C9554F">
        <w:rPr>
          <w:b/>
          <w:bCs/>
        </w:rPr>
        <w:t xml:space="preserve">. LOESS-smoothed trajectories of log10 </w:t>
      </w:r>
      <w:r>
        <w:rPr>
          <w:rFonts w:hint="eastAsia"/>
          <w:b/>
          <w:bCs/>
        </w:rPr>
        <w:t>q</w:t>
      </w:r>
      <w:r w:rsidRPr="00C9554F">
        <w:rPr>
          <w:b/>
          <w:bCs/>
        </w:rPr>
        <w:t>HBsAg by background NA regimen in the Peg-IFNα-2b add-on group</w:t>
      </w:r>
      <w:bookmarkEnd w:id="0"/>
    </w:p>
    <w:p w14:paraId="7C9771FD" w14:textId="77777777" w:rsidR="00413614" w:rsidRPr="00C9554F" w:rsidRDefault="00413614" w:rsidP="00413614">
      <w:pPr>
        <w:spacing w:after="0" w:line="360" w:lineRule="auto"/>
        <w:ind w:firstLineChars="200" w:firstLine="480"/>
        <w:jc w:val="both"/>
      </w:pPr>
      <w:r w:rsidRPr="00C9554F">
        <w:t>To describe the distribution of background NA regimens, patients in both treatment groups were summarized according to baseline NA regimen. ETV was classified as a nucleoside analogue, whereas TAF, TDF, and TMF were classified as nucleotide analogues. In the Peg-IFNα-2b add-on group, 87 patients received ETV, 25 received TAF, 30 received TDF, and 19 received TMF. Accordingly, nucleoside analogue use accounted for 54.0%, while nucleotide analogue use accounted for 46.0%. In the NAs</w:t>
      </w:r>
      <w:r w:rsidRPr="00C9554F">
        <w:rPr>
          <w:rFonts w:hint="eastAsia"/>
        </w:rPr>
        <w:t xml:space="preserve"> </w:t>
      </w:r>
      <w:r w:rsidRPr="00C9554F">
        <w:t xml:space="preserve">alone group, 90 patients received ETV, </w:t>
      </w:r>
      <w:r w:rsidRPr="00C9554F">
        <w:rPr>
          <w:rFonts w:hint="eastAsia"/>
        </w:rPr>
        <w:t>45</w:t>
      </w:r>
      <w:r w:rsidRPr="00C9554F">
        <w:t xml:space="preserve"> received TAF, 26 received TDF, and </w:t>
      </w:r>
      <w:r w:rsidRPr="00C9554F">
        <w:rPr>
          <w:rFonts w:hint="eastAsia"/>
        </w:rPr>
        <w:t>0</w:t>
      </w:r>
      <w:r w:rsidRPr="00C9554F">
        <w:t xml:space="preserve"> received TMF, corresponding to 55.9% nucleoside analogue use and 44.1% nucleotide analogue use. The detailed distribution is shown in Supplementary Table S</w:t>
      </w:r>
      <w:r w:rsidRPr="00C9554F">
        <w:rPr>
          <w:rFonts w:hint="eastAsia"/>
        </w:rPr>
        <w:t>2</w:t>
      </w:r>
      <w:r w:rsidRPr="00C9554F">
        <w:t>.</w:t>
      </w:r>
    </w:p>
    <w:p w14:paraId="58FCF3BD" w14:textId="77777777" w:rsidR="00413614" w:rsidRPr="00C9554F" w:rsidRDefault="00413614" w:rsidP="00413614">
      <w:pPr>
        <w:spacing w:after="0" w:line="360" w:lineRule="auto"/>
        <w:ind w:firstLineChars="200" w:firstLine="482"/>
        <w:jc w:val="center"/>
        <w:rPr>
          <w:b/>
          <w:bCs/>
        </w:rPr>
      </w:pPr>
      <w:r w:rsidRPr="00C9554F">
        <w:rPr>
          <w:rFonts w:hint="eastAsia"/>
          <w:b/>
          <w:bCs/>
        </w:rPr>
        <w:t xml:space="preserve">Table S2. </w:t>
      </w:r>
      <w:r w:rsidRPr="00C9554F">
        <w:rPr>
          <w:b/>
          <w:bCs/>
        </w:rPr>
        <w:t>Distribution of background nucleos(t)ide analogue regimens between treatment groups.</w:t>
      </w:r>
    </w:p>
    <w:tbl>
      <w:tblPr>
        <w:tblStyle w:val="TableGrid"/>
        <w:tblW w:w="8667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685"/>
        <w:gridCol w:w="2430"/>
      </w:tblGrid>
      <w:tr w:rsidR="00413614" w:rsidRPr="00C9554F" w14:paraId="14BF3CEB" w14:textId="77777777" w:rsidTr="00B258A0">
        <w:trPr>
          <w:trHeight w:val="824"/>
          <w:jc w:val="center"/>
        </w:trPr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1F8B2C" w14:textId="77777777" w:rsidR="00413614" w:rsidRPr="00C9554F" w:rsidRDefault="00413614" w:rsidP="00B258A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9554F">
              <w:rPr>
                <w:sz w:val="22"/>
                <w:szCs w:val="22"/>
              </w:rPr>
              <w:t>Background NA regimen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2B1E4F" w14:textId="77777777" w:rsidR="00413614" w:rsidRPr="00C9554F" w:rsidRDefault="00413614" w:rsidP="00B258A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9554F">
              <w:rPr>
                <w:sz w:val="22"/>
                <w:szCs w:val="22"/>
              </w:rPr>
              <w:t>Peg-IFNα-2b add-on group, n (%)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3671FA" w14:textId="77777777" w:rsidR="00413614" w:rsidRPr="00C9554F" w:rsidRDefault="00413614" w:rsidP="00B258A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9554F">
              <w:rPr>
                <w:sz w:val="22"/>
                <w:szCs w:val="22"/>
              </w:rPr>
              <w:t>NAs</w:t>
            </w:r>
            <w:r w:rsidRPr="00C9554F">
              <w:rPr>
                <w:rFonts w:hint="eastAsia"/>
                <w:sz w:val="22"/>
                <w:szCs w:val="22"/>
              </w:rPr>
              <w:t xml:space="preserve"> </w:t>
            </w:r>
            <w:r w:rsidRPr="00C9554F">
              <w:rPr>
                <w:sz w:val="22"/>
                <w:szCs w:val="22"/>
              </w:rPr>
              <w:t>alone group, n (%)</w:t>
            </w:r>
          </w:p>
        </w:tc>
      </w:tr>
      <w:tr w:rsidR="00413614" w:rsidRPr="00C9554F" w14:paraId="204F206C" w14:textId="77777777" w:rsidTr="00B258A0">
        <w:trPr>
          <w:trHeight w:val="824"/>
          <w:jc w:val="center"/>
        </w:trPr>
        <w:tc>
          <w:tcPr>
            <w:tcW w:w="2552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790C696" w14:textId="77777777" w:rsidR="00413614" w:rsidRPr="00C9554F" w:rsidRDefault="00413614" w:rsidP="00B258A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9554F">
              <w:rPr>
                <w:rFonts w:hint="eastAsia"/>
                <w:sz w:val="22"/>
                <w:szCs w:val="22"/>
              </w:rPr>
              <w:t>ETV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1F1958" w14:textId="77777777" w:rsidR="00413614" w:rsidRPr="00C9554F" w:rsidRDefault="00413614" w:rsidP="00B258A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9554F">
              <w:rPr>
                <w:sz w:val="22"/>
                <w:szCs w:val="22"/>
                <w14:ligatures w14:val="none"/>
              </w:rPr>
              <w:t>87 (54.0%)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C1C2F4B" w14:textId="77777777" w:rsidR="00413614" w:rsidRPr="00C9554F" w:rsidRDefault="00413614" w:rsidP="00B258A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9554F">
              <w:rPr>
                <w:sz w:val="22"/>
                <w:szCs w:val="22"/>
              </w:rPr>
              <w:t>90 (55.9%)</w:t>
            </w:r>
          </w:p>
        </w:tc>
      </w:tr>
      <w:tr w:rsidR="00413614" w:rsidRPr="00C9554F" w14:paraId="6197FE0E" w14:textId="77777777" w:rsidTr="00B258A0">
        <w:trPr>
          <w:trHeight w:val="824"/>
          <w:jc w:val="center"/>
        </w:trPr>
        <w:tc>
          <w:tcPr>
            <w:tcW w:w="2552" w:type="dxa"/>
            <w:tcBorders>
              <w:top w:val="nil"/>
              <w:bottom w:val="nil"/>
              <w:right w:val="nil"/>
            </w:tcBorders>
            <w:vAlign w:val="center"/>
          </w:tcPr>
          <w:p w14:paraId="169B905A" w14:textId="77777777" w:rsidR="00413614" w:rsidRPr="00C9554F" w:rsidRDefault="00413614" w:rsidP="00B258A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9554F">
              <w:rPr>
                <w:rFonts w:hint="eastAsia"/>
                <w:sz w:val="22"/>
                <w:szCs w:val="22"/>
              </w:rPr>
              <w:t>TAF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D7A40" w14:textId="77777777" w:rsidR="00413614" w:rsidRPr="00C9554F" w:rsidRDefault="00413614" w:rsidP="00B258A0">
            <w:pPr>
              <w:spacing w:line="360" w:lineRule="auto"/>
              <w:ind w:leftChars="-50" w:left="-120"/>
              <w:jc w:val="center"/>
              <w:rPr>
                <w:sz w:val="22"/>
                <w:szCs w:val="22"/>
              </w:rPr>
            </w:pPr>
            <w:r w:rsidRPr="00C9554F">
              <w:rPr>
                <w:sz w:val="22"/>
                <w:szCs w:val="22"/>
              </w:rPr>
              <w:t xml:space="preserve">25 (15.5%)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</w:tcBorders>
            <w:vAlign w:val="center"/>
          </w:tcPr>
          <w:p w14:paraId="5F47D3DF" w14:textId="77777777" w:rsidR="00413614" w:rsidRPr="00C9554F" w:rsidRDefault="00413614" w:rsidP="00B258A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9554F">
              <w:rPr>
                <w:rFonts w:hint="eastAsia"/>
                <w:sz w:val="22"/>
                <w:szCs w:val="22"/>
              </w:rPr>
              <w:t>45</w:t>
            </w:r>
            <w:r w:rsidRPr="00C9554F">
              <w:rPr>
                <w:sz w:val="22"/>
                <w:szCs w:val="22"/>
              </w:rPr>
              <w:t xml:space="preserve"> (</w:t>
            </w:r>
            <w:r w:rsidRPr="00C9554F">
              <w:rPr>
                <w:rFonts w:hint="eastAsia"/>
                <w:sz w:val="22"/>
                <w:szCs w:val="22"/>
              </w:rPr>
              <w:t>28.0</w:t>
            </w:r>
            <w:r w:rsidRPr="00C9554F">
              <w:rPr>
                <w:sz w:val="22"/>
                <w:szCs w:val="22"/>
              </w:rPr>
              <w:t>%</w:t>
            </w:r>
            <w:r w:rsidRPr="00C9554F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413614" w:rsidRPr="00C9554F" w14:paraId="102D0058" w14:textId="77777777" w:rsidTr="00B258A0">
        <w:trPr>
          <w:trHeight w:val="824"/>
          <w:jc w:val="center"/>
        </w:trPr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1EFA5C71" w14:textId="77777777" w:rsidR="00413614" w:rsidRPr="00C9554F" w:rsidRDefault="00413614" w:rsidP="00B258A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9554F">
              <w:rPr>
                <w:rFonts w:hint="eastAsia"/>
                <w:sz w:val="22"/>
                <w:szCs w:val="22"/>
              </w:rPr>
              <w:t>TDF</w:t>
            </w:r>
          </w:p>
        </w:tc>
        <w:tc>
          <w:tcPr>
            <w:tcW w:w="3685" w:type="dxa"/>
            <w:tcBorders>
              <w:top w:val="nil"/>
              <w:bottom w:val="nil"/>
            </w:tcBorders>
            <w:vAlign w:val="center"/>
          </w:tcPr>
          <w:p w14:paraId="05B93079" w14:textId="77777777" w:rsidR="00413614" w:rsidRPr="00C9554F" w:rsidRDefault="00413614" w:rsidP="00B258A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9554F">
              <w:rPr>
                <w:sz w:val="22"/>
                <w:szCs w:val="22"/>
              </w:rPr>
              <w:t xml:space="preserve">30 (18.6%) </w:t>
            </w:r>
          </w:p>
        </w:tc>
        <w:tc>
          <w:tcPr>
            <w:tcW w:w="2430" w:type="dxa"/>
            <w:tcBorders>
              <w:top w:val="nil"/>
              <w:bottom w:val="nil"/>
            </w:tcBorders>
            <w:vAlign w:val="center"/>
          </w:tcPr>
          <w:p w14:paraId="2C854822" w14:textId="77777777" w:rsidR="00413614" w:rsidRPr="00C9554F" w:rsidRDefault="00413614" w:rsidP="00B258A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9554F">
              <w:rPr>
                <w:sz w:val="22"/>
                <w:szCs w:val="22"/>
              </w:rPr>
              <w:t>26 (16.1%)</w:t>
            </w:r>
          </w:p>
        </w:tc>
      </w:tr>
      <w:tr w:rsidR="00413614" w:rsidRPr="00C9554F" w14:paraId="028E2967" w14:textId="77777777" w:rsidTr="00B258A0">
        <w:trPr>
          <w:trHeight w:val="824"/>
          <w:jc w:val="center"/>
        </w:trPr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2972E817" w14:textId="77777777" w:rsidR="00413614" w:rsidRPr="00C9554F" w:rsidRDefault="00413614" w:rsidP="00B258A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9554F">
              <w:rPr>
                <w:rFonts w:hint="eastAsia"/>
                <w:sz w:val="22"/>
                <w:szCs w:val="22"/>
              </w:rPr>
              <w:t>TMF</w:t>
            </w:r>
          </w:p>
        </w:tc>
        <w:tc>
          <w:tcPr>
            <w:tcW w:w="3685" w:type="dxa"/>
            <w:tcBorders>
              <w:top w:val="nil"/>
              <w:bottom w:val="nil"/>
            </w:tcBorders>
            <w:vAlign w:val="center"/>
          </w:tcPr>
          <w:p w14:paraId="383E9612" w14:textId="77777777" w:rsidR="00413614" w:rsidRPr="00C9554F" w:rsidRDefault="00413614" w:rsidP="00B258A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9554F">
              <w:rPr>
                <w:sz w:val="22"/>
                <w:szCs w:val="22"/>
              </w:rPr>
              <w:t>19 (11.8%)</w:t>
            </w:r>
          </w:p>
        </w:tc>
        <w:tc>
          <w:tcPr>
            <w:tcW w:w="2430" w:type="dxa"/>
            <w:tcBorders>
              <w:top w:val="nil"/>
              <w:bottom w:val="nil"/>
            </w:tcBorders>
            <w:vAlign w:val="center"/>
          </w:tcPr>
          <w:p w14:paraId="540FF09A" w14:textId="77777777" w:rsidR="00413614" w:rsidRPr="00C9554F" w:rsidRDefault="00413614" w:rsidP="00B258A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9554F">
              <w:rPr>
                <w:rFonts w:hint="eastAsia"/>
                <w:sz w:val="22"/>
                <w:szCs w:val="22"/>
              </w:rPr>
              <w:t>0</w:t>
            </w:r>
            <w:r w:rsidRPr="00C9554F">
              <w:rPr>
                <w:sz w:val="22"/>
                <w:szCs w:val="22"/>
              </w:rPr>
              <w:t xml:space="preserve"> (</w:t>
            </w:r>
            <w:r w:rsidRPr="00C9554F">
              <w:rPr>
                <w:rFonts w:hint="eastAsia"/>
                <w:sz w:val="22"/>
                <w:szCs w:val="22"/>
              </w:rPr>
              <w:t>0</w:t>
            </w:r>
            <w:r w:rsidRPr="00C9554F">
              <w:rPr>
                <w:sz w:val="22"/>
                <w:szCs w:val="22"/>
              </w:rPr>
              <w:t>%)</w:t>
            </w:r>
          </w:p>
        </w:tc>
      </w:tr>
      <w:tr w:rsidR="00413614" w:rsidRPr="00C9554F" w14:paraId="60CB5D49" w14:textId="77777777" w:rsidTr="00B258A0">
        <w:trPr>
          <w:trHeight w:val="824"/>
          <w:jc w:val="center"/>
        </w:trPr>
        <w:tc>
          <w:tcPr>
            <w:tcW w:w="2552" w:type="dxa"/>
            <w:tcBorders>
              <w:top w:val="nil"/>
            </w:tcBorders>
            <w:vAlign w:val="center"/>
          </w:tcPr>
          <w:p w14:paraId="22D705A6" w14:textId="77777777" w:rsidR="00413614" w:rsidRPr="00C9554F" w:rsidRDefault="00413614" w:rsidP="00B258A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9554F">
              <w:rPr>
                <w:sz w:val="22"/>
                <w:szCs w:val="22"/>
              </w:rPr>
              <w:t>Nucleoside analogue</w:t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2E0071BF" w14:textId="77777777" w:rsidR="00413614" w:rsidRPr="00C9554F" w:rsidRDefault="00413614" w:rsidP="00B258A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9554F">
              <w:rPr>
                <w:sz w:val="22"/>
                <w:szCs w:val="22"/>
              </w:rPr>
              <w:t>87 (54.0%)</w:t>
            </w:r>
          </w:p>
        </w:tc>
        <w:tc>
          <w:tcPr>
            <w:tcW w:w="2430" w:type="dxa"/>
            <w:tcBorders>
              <w:top w:val="nil"/>
            </w:tcBorders>
            <w:vAlign w:val="center"/>
          </w:tcPr>
          <w:p w14:paraId="62187EF5" w14:textId="77777777" w:rsidR="00413614" w:rsidRPr="00C9554F" w:rsidRDefault="00413614" w:rsidP="00B258A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9554F">
              <w:rPr>
                <w:sz w:val="22"/>
                <w:szCs w:val="22"/>
              </w:rPr>
              <w:t>90 (55.9%)</w:t>
            </w:r>
          </w:p>
        </w:tc>
      </w:tr>
      <w:tr w:rsidR="00413614" w:rsidRPr="00C9554F" w14:paraId="375256A6" w14:textId="77777777" w:rsidTr="00B258A0">
        <w:trPr>
          <w:trHeight w:val="824"/>
          <w:jc w:val="center"/>
        </w:trPr>
        <w:tc>
          <w:tcPr>
            <w:tcW w:w="2552" w:type="dxa"/>
            <w:tcBorders>
              <w:top w:val="nil"/>
            </w:tcBorders>
            <w:vAlign w:val="center"/>
          </w:tcPr>
          <w:p w14:paraId="74C6A304" w14:textId="77777777" w:rsidR="00413614" w:rsidRPr="00C9554F" w:rsidRDefault="00413614" w:rsidP="00B258A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9554F">
              <w:rPr>
                <w:sz w:val="22"/>
                <w:szCs w:val="22"/>
              </w:rPr>
              <w:t>Nucleotide analogue</w:t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0368C712" w14:textId="77777777" w:rsidR="00413614" w:rsidRPr="00C9554F" w:rsidRDefault="00413614" w:rsidP="00B258A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9554F">
              <w:rPr>
                <w:sz w:val="22"/>
                <w:szCs w:val="22"/>
              </w:rPr>
              <w:t>74 (46.0%)</w:t>
            </w:r>
          </w:p>
        </w:tc>
        <w:tc>
          <w:tcPr>
            <w:tcW w:w="2430" w:type="dxa"/>
            <w:tcBorders>
              <w:top w:val="nil"/>
            </w:tcBorders>
            <w:vAlign w:val="center"/>
          </w:tcPr>
          <w:p w14:paraId="65A99F54" w14:textId="77777777" w:rsidR="00413614" w:rsidRPr="00C9554F" w:rsidRDefault="00413614" w:rsidP="00B258A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9554F">
              <w:rPr>
                <w:b/>
                <w:bCs/>
                <w:sz w:val="22"/>
                <w:szCs w:val="22"/>
              </w:rPr>
              <w:t>7</w:t>
            </w:r>
            <w:r w:rsidRPr="00C9554F">
              <w:rPr>
                <w:sz w:val="22"/>
                <w:szCs w:val="22"/>
              </w:rPr>
              <w:t>1 (44.1%)</w:t>
            </w:r>
          </w:p>
        </w:tc>
      </w:tr>
    </w:tbl>
    <w:p w14:paraId="6CD2DED1" w14:textId="77777777" w:rsidR="00413614" w:rsidRPr="00C9554F" w:rsidRDefault="00413614" w:rsidP="00413614">
      <w:pPr>
        <w:spacing w:after="0" w:line="360" w:lineRule="auto"/>
        <w:jc w:val="both"/>
        <w:rPr>
          <w:sz w:val="22"/>
          <w:szCs w:val="22"/>
        </w:rPr>
      </w:pPr>
      <w:r w:rsidRPr="00C9554F">
        <w:rPr>
          <w:sz w:val="22"/>
          <w:szCs w:val="22"/>
        </w:rPr>
        <w:t>Note</w:t>
      </w:r>
      <w:r w:rsidRPr="00C9554F">
        <w:rPr>
          <w:rFonts w:hint="eastAsia"/>
          <w:sz w:val="22"/>
          <w:szCs w:val="22"/>
        </w:rPr>
        <w:t xml:space="preserve">: </w:t>
      </w:r>
      <w:r w:rsidRPr="00C9554F">
        <w:rPr>
          <w:sz w:val="22"/>
          <w:szCs w:val="22"/>
        </w:rPr>
        <w:t>ETV was classified as a nucleoside analogue, whereas TAF, TDF, and TMF were classified as nucleotide analogues.</w:t>
      </w:r>
    </w:p>
    <w:p w14:paraId="70BAE0D3" w14:textId="77777777" w:rsidR="00413614" w:rsidRPr="00C9554F" w:rsidRDefault="00413614" w:rsidP="00413614">
      <w:pPr>
        <w:spacing w:after="0" w:line="360" w:lineRule="auto"/>
        <w:ind w:firstLineChars="200" w:firstLine="480"/>
        <w:jc w:val="both"/>
      </w:pPr>
      <w:r w:rsidRPr="00C9554F">
        <w:lastRenderedPageBreak/>
        <w:t>To further describe whether background NA regimen might influence HBsAg kinetics after Peg-IFNα-2b add-on therapy, patients in the Peg-IFNα-2b add-on group were stratified according to baseline NA regimen. As shown in Supplementary Figure S</w:t>
      </w:r>
      <w:r w:rsidRPr="00C9554F">
        <w:rPr>
          <w:rFonts w:hint="eastAsia"/>
        </w:rPr>
        <w:t>8</w:t>
      </w:r>
      <w:r w:rsidRPr="00C9554F">
        <w:t>, the LOESS-smoothed log10 HBsAg trajectories were broadly similar across the ETV, TAF, TDF, and TMF subgroups. In the post-treatment period, all four curves showed an initial decline followed by a mild rebound. The 95% confidence intervals largely overlapped throughout follow-up, and no obvious separation of trajectories was observed among the four NA subgroups. These findings suggest that the overall pattern of HBsAg kinetics after Peg-IFNα-2b add-on therapy was generally consistent across different background NA regimens.</w:t>
      </w:r>
    </w:p>
    <w:p w14:paraId="4C4FE3E1" w14:textId="77777777" w:rsidR="00413614" w:rsidRPr="00C9554F" w:rsidRDefault="00413614" w:rsidP="00413614">
      <w:pPr>
        <w:spacing w:after="0" w:line="360" w:lineRule="auto"/>
        <w:ind w:firstLineChars="200" w:firstLine="480"/>
        <w:jc w:val="both"/>
      </w:pPr>
      <w:r w:rsidRPr="00C9554F">
        <w:rPr>
          <w:noProof/>
        </w:rPr>
        <w:drawing>
          <wp:inline distT="0" distB="0" distL="0" distR="0" wp14:anchorId="704EEEC5" wp14:editId="1F2AEFDC">
            <wp:extent cx="3780228" cy="2520000"/>
            <wp:effectExtent l="0" t="0" r="0" b="0"/>
            <wp:docPr id="19388486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848676" name="图片 193884867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0228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617DD" w14:textId="77777777" w:rsidR="00413614" w:rsidRPr="00C9554F" w:rsidRDefault="00413614" w:rsidP="00413614">
      <w:pPr>
        <w:spacing w:after="0" w:line="360" w:lineRule="auto"/>
        <w:ind w:firstLineChars="200" w:firstLine="482"/>
        <w:jc w:val="center"/>
        <w:rPr>
          <w:b/>
          <w:bCs/>
        </w:rPr>
      </w:pPr>
      <w:r w:rsidRPr="00C9554F">
        <w:rPr>
          <w:b/>
          <w:bCs/>
        </w:rPr>
        <w:t>Fig</w:t>
      </w:r>
      <w:r w:rsidRPr="00C9554F">
        <w:rPr>
          <w:rFonts w:hint="eastAsia"/>
          <w:b/>
          <w:bCs/>
        </w:rPr>
        <w:t>.</w:t>
      </w:r>
      <w:r w:rsidRPr="00C9554F">
        <w:rPr>
          <w:b/>
          <w:bCs/>
        </w:rPr>
        <w:t xml:space="preserve"> S</w:t>
      </w:r>
      <w:r w:rsidRPr="00C9554F">
        <w:rPr>
          <w:rFonts w:hint="eastAsia"/>
          <w:b/>
          <w:bCs/>
        </w:rPr>
        <w:t>8</w:t>
      </w:r>
      <w:r w:rsidRPr="00C9554F">
        <w:rPr>
          <w:b/>
          <w:bCs/>
        </w:rPr>
        <w:t>. LOESS-smoothed trajectories of log10 HBsAg by background NA regimen in the Peg-IFNα-2b add-on group</w:t>
      </w:r>
      <w:r w:rsidRPr="00C9554F">
        <w:rPr>
          <w:rFonts w:hint="eastAsia"/>
          <w:b/>
          <w:bCs/>
        </w:rPr>
        <w:t>.</w:t>
      </w:r>
    </w:p>
    <w:p w14:paraId="635AF333" w14:textId="292E4D0F" w:rsidR="0067415F" w:rsidRPr="00413614" w:rsidRDefault="00413614" w:rsidP="00413614">
      <w:r w:rsidRPr="00C9554F">
        <w:rPr>
          <w:i/>
          <w:iCs/>
          <w:sz w:val="22"/>
          <w:szCs w:val="22"/>
        </w:rPr>
        <w:t>Patients in the Peg-IFNα-2b add-on group were stratified according to background NA regimen: ETV (n = 87), TAF (n = 25), TDF (n = 30), and TMF (n = 19). ETV was classified as a nucleoside analogue, whereas TAF, TDF, and TMF were classified as nucleotide analogues. Lines represent LOESS-smoothed trajectories of log10 HBsAg, and shaded areas indicate 95% confidence intervals.</w:t>
      </w:r>
    </w:p>
    <w:sectPr w:rsidR="0067415F" w:rsidRPr="00413614" w:rsidSect="00432F55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90"/>
    <w:rsid w:val="001920AA"/>
    <w:rsid w:val="00307590"/>
    <w:rsid w:val="00413614"/>
    <w:rsid w:val="004244E6"/>
    <w:rsid w:val="00432F55"/>
    <w:rsid w:val="004D00A8"/>
    <w:rsid w:val="005A148B"/>
    <w:rsid w:val="0067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EE808-74AB-498E-B97B-E361D63B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5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5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5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5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5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5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5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5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5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5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59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2F55"/>
    <w:pPr>
      <w:spacing w:after="0" w:line="240" w:lineRule="auto"/>
    </w:pPr>
    <w:rPr>
      <w:rFonts w:ascii="Times New Roman" w:eastAsia="SimSun" w:hAnsi="Times New Roman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32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2026-07-11T13:10:00Z</dcterms:created>
  <dcterms:modified xsi:type="dcterms:W3CDTF">2026-07-22T07:21:00Z</dcterms:modified>
</cp:coreProperties>
</file>