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69F5" w14:textId="77777777" w:rsidR="003F6BA0" w:rsidRPr="00C9554F" w:rsidRDefault="003F6BA0" w:rsidP="003F6BA0">
      <w:pPr>
        <w:spacing w:after="0" w:line="360" w:lineRule="auto"/>
        <w:jc w:val="both"/>
        <w:outlineLvl w:val="1"/>
        <w:rPr>
          <w:b/>
          <w:bCs/>
        </w:rPr>
      </w:pPr>
      <w:bookmarkStart w:id="0" w:name="_Toc231722425"/>
      <w:r w:rsidRPr="00C9554F">
        <w:rPr>
          <w:b/>
          <w:bCs/>
        </w:rPr>
        <w:t xml:space="preserve">Appendix </w:t>
      </w:r>
      <w:r w:rsidRPr="00C9554F">
        <w:rPr>
          <w:rFonts w:hint="eastAsia"/>
          <w:b/>
          <w:bCs/>
        </w:rPr>
        <w:t>4</w:t>
      </w:r>
      <w:r w:rsidRPr="00C9554F">
        <w:rPr>
          <w:b/>
          <w:bCs/>
        </w:rPr>
        <w:t>. Method for Kaplan</w:t>
      </w:r>
      <w:r w:rsidRPr="00C9554F">
        <w:rPr>
          <w:rFonts w:hint="eastAsia"/>
        </w:rPr>
        <w:t>-</w:t>
      </w:r>
      <w:r w:rsidRPr="00C9554F">
        <w:rPr>
          <w:b/>
          <w:bCs/>
        </w:rPr>
        <w:t>Meier Analysis of HBsAg Loss within 500 Days</w:t>
      </w:r>
      <w:bookmarkEnd w:id="0"/>
      <w:r w:rsidRPr="00C9554F">
        <w:rPr>
          <w:b/>
          <w:bCs/>
        </w:rPr>
        <w:t xml:space="preserve"> </w:t>
      </w:r>
    </w:p>
    <w:p w14:paraId="00BBFB0C" w14:textId="303FCCD9" w:rsidR="0067415F" w:rsidRPr="003F6BA0" w:rsidRDefault="003F6BA0" w:rsidP="003F6BA0">
      <w:r w:rsidRPr="00C9554F">
        <w:rPr>
          <w:rFonts w:hint="eastAsia"/>
        </w:rPr>
        <w:t xml:space="preserve">Time was measured in days from baseline, which </w:t>
      </w:r>
      <w:r w:rsidRPr="00C9554F">
        <w:t xml:space="preserve">was defined as the date of the first Peg-IFNα-2b prescription (Peg-IFNα-2b add-on group) and, for the NAs alone group, the first eligible clinic visit between </w:t>
      </w:r>
      <w:r w:rsidRPr="00BE0D63">
        <w:rPr>
          <w:highlight w:val="red"/>
        </w:rPr>
        <w:t>202</w:t>
      </w:r>
      <w:r>
        <w:rPr>
          <w:rFonts w:hint="eastAsia"/>
          <w:highlight w:val="red"/>
        </w:rPr>
        <w:t>3</w:t>
      </w:r>
      <w:r w:rsidRPr="00C9554F">
        <w:t xml:space="preserve"> and 2025 at which qHBsAg was measured and all inclusion criteria were met</w:t>
      </w:r>
      <w:r w:rsidRPr="00C9554F">
        <w:rPr>
          <w:rFonts w:hint="eastAsia"/>
        </w:rPr>
        <w:t xml:space="preserve">. Only post-baseline measurements (time </w:t>
      </w:r>
      <w:r w:rsidRPr="00C9554F">
        <w:t>≥</w:t>
      </w:r>
      <w:r w:rsidRPr="00C9554F">
        <w:rPr>
          <w:rFonts w:hint="eastAsia"/>
        </w:rPr>
        <w:t xml:space="preserve">0) were included. The event was defined as HBsAg </w:t>
      </w:r>
      <w:r w:rsidRPr="00C9554F">
        <w:t>≤</w:t>
      </w:r>
      <w:r w:rsidRPr="00C9554F">
        <w:rPr>
          <w:rFonts w:hint="eastAsia"/>
        </w:rPr>
        <w:t xml:space="preserve"> 0.05 IU/mL a</w:t>
      </w:r>
      <w:r w:rsidRPr="00C9554F">
        <w:t>t the first qualifying measurement. Participants without an event were censored at their last valid follow-up.</w:t>
      </w:r>
      <w:r w:rsidRPr="00C9554F">
        <w:rPr>
          <w:rFonts w:hint="eastAsia"/>
        </w:rPr>
        <w:t xml:space="preserve"> </w:t>
      </w:r>
      <w:r w:rsidRPr="00C9554F">
        <w:t>Because HBsAg measurements were sparse beyond day 500 and the risk set was small, follow-up was administratively censored at day 500 in the primary analysis (i.e., follow-up time was set to min</w:t>
      </w:r>
      <w:r w:rsidRPr="00C9554F">
        <w:rPr>
          <w:rFonts w:hint="eastAsia"/>
        </w:rPr>
        <w:t>(</w:t>
      </w:r>
      <w:r w:rsidRPr="00C9554F">
        <w:t>last follow-up,</w:t>
      </w:r>
      <w:r w:rsidRPr="00C9554F">
        <w:rPr>
          <w:rFonts w:hint="eastAsia"/>
        </w:rPr>
        <w:t xml:space="preserve"> </w:t>
      </w:r>
      <w:r w:rsidRPr="00C9554F">
        <w:t>500</w:t>
      </w:r>
      <w:r w:rsidRPr="00C9554F">
        <w:rPr>
          <w:rFonts w:hint="eastAsia"/>
        </w:rPr>
        <w:t>)</w:t>
      </w:r>
      <w:r w:rsidRPr="00C9554F">
        <w:t>, and events occurring after day 500 were treated as censored at day 500). Kaplan</w:t>
      </w:r>
      <w:r w:rsidRPr="00C9554F">
        <w:rPr>
          <w:rFonts w:hint="eastAsia"/>
        </w:rPr>
        <w:t>-</w:t>
      </w:r>
      <w:r w:rsidRPr="00C9554F">
        <w:t>Meier estimates of S(t) and cumulative incidence (1</w:t>
      </w:r>
      <w:r w:rsidRPr="00C9554F">
        <w:rPr>
          <w:rFonts w:hint="eastAsia"/>
        </w:rPr>
        <w:t>-</w:t>
      </w:r>
      <w:r w:rsidRPr="00C9554F">
        <w:t>S</w:t>
      </w:r>
      <w:r w:rsidRPr="00C9554F">
        <w:rPr>
          <w:rFonts w:hint="eastAsia"/>
        </w:rPr>
        <w:t>(</w:t>
      </w:r>
      <w:r w:rsidRPr="00C9554F">
        <w:t>t</w:t>
      </w:r>
      <w:r w:rsidRPr="00C9554F">
        <w:rPr>
          <w:rFonts w:hint="eastAsia"/>
        </w:rPr>
        <w:t>)</w:t>
      </w:r>
      <w:r w:rsidRPr="00C9554F">
        <w:t xml:space="preserve">) with Greenwood 95% </w:t>
      </w:r>
      <w:r w:rsidRPr="00C9554F">
        <w:rPr>
          <w:rFonts w:hint="eastAsia"/>
        </w:rPr>
        <w:t>CI</w:t>
      </w:r>
      <w:r w:rsidRPr="00C9554F">
        <w:t xml:space="preserve">s were reported. Between-group differences were assessed using a two-sided log-rank test; hazard ratios were not estimated because there were zero events in the NAs </w:t>
      </w:r>
      <w:r w:rsidRPr="00C9554F">
        <w:rPr>
          <w:rFonts w:hint="eastAsia"/>
        </w:rPr>
        <w:t xml:space="preserve">alone </w:t>
      </w:r>
      <w:r w:rsidRPr="00C9554F">
        <w:t>group. Analyses were conducted in R (survival and survminer), with risk tables displayed.</w:t>
      </w:r>
    </w:p>
    <w:sectPr w:rsidR="0067415F" w:rsidRPr="003F6B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45"/>
    <w:rsid w:val="003F6BA0"/>
    <w:rsid w:val="004244E6"/>
    <w:rsid w:val="004D00A8"/>
    <w:rsid w:val="005A148B"/>
    <w:rsid w:val="0067415F"/>
    <w:rsid w:val="006C7080"/>
    <w:rsid w:val="00991CD4"/>
    <w:rsid w:val="009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B1A15-C6D2-4C7B-AD7A-67124639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2026-07-11T13:09:00Z</dcterms:created>
  <dcterms:modified xsi:type="dcterms:W3CDTF">2026-07-22T07:21:00Z</dcterms:modified>
</cp:coreProperties>
</file>