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5EC7" w14:textId="77777777" w:rsidR="00761D2A" w:rsidRPr="00C9554F" w:rsidRDefault="00761D2A" w:rsidP="00761D2A">
      <w:pPr>
        <w:spacing w:after="0" w:line="360" w:lineRule="auto"/>
        <w:jc w:val="both"/>
        <w:outlineLvl w:val="1"/>
        <w:rPr>
          <w:b/>
          <w:bCs/>
        </w:rPr>
      </w:pPr>
      <w:r w:rsidRPr="00C9554F">
        <w:rPr>
          <w:b/>
          <w:bCs/>
        </w:rPr>
        <w:t xml:space="preserve">Appendix 1. Missing data handling, qHBsAg measurement frequency, and Peg-IFNα-2b discontinuation </w:t>
      </w:r>
    </w:p>
    <w:p w14:paraId="3080D4C1" w14:textId="77777777" w:rsidR="00761D2A" w:rsidRPr="00C9554F" w:rsidRDefault="00761D2A" w:rsidP="00761D2A">
      <w:pPr>
        <w:spacing w:after="0" w:line="360" w:lineRule="auto"/>
        <w:ind w:firstLineChars="100" w:firstLine="240"/>
        <w:jc w:val="both"/>
      </w:pPr>
      <w:r w:rsidRPr="00C9554F">
        <w:t>Missing data were handled using an available-case approach, and no imputation was performed. For the LOESS-smoothed qHBsAg trajectory analyses, records with missing time information or missing qHBsAg values were excluded. LOESS smoothing can accommodate irregularly timed longitudinal observations by fitting local regressions using available measurements over time. However, the resulting trajectories may still be influenced by informative missingness. For example, patients who achieved HBsAg loss or had stable clinical status may have been followed less frequently, which could affect the density and timing of available qHBsAg measurements. For propensity score matching and endpoint analyses, patients with missing variables required for a specific analysis were excluded from that analysis.</w:t>
      </w:r>
    </w:p>
    <w:p w14:paraId="596ECF7F" w14:textId="77777777" w:rsidR="00761D2A" w:rsidRPr="00C9554F" w:rsidRDefault="00761D2A" w:rsidP="00761D2A">
      <w:pPr>
        <w:spacing w:after="0" w:line="360" w:lineRule="auto"/>
        <w:ind w:firstLineChars="100" w:firstLine="240"/>
        <w:jc w:val="both"/>
      </w:pPr>
      <w:r w:rsidRPr="00C9554F">
        <w:t>In the trajectory dataset, the pegylated interferon alpha-2b (Peg-IFNα-2b) add-on group contributed 563 valid qHBsAg records from 161 patients for trajectory analyses, with a median of 3 measurements per patient (IQR, 3–4). The nucleos(t)ide analogues (NAs)</w:t>
      </w:r>
      <w:r w:rsidRPr="00C9554F">
        <w:rPr>
          <w:rFonts w:hint="eastAsia"/>
        </w:rPr>
        <w:t xml:space="preserve"> </w:t>
      </w:r>
      <w:r w:rsidRPr="00C9554F">
        <w:t>alone group contributed 604 valid qHBsAg records from 161 patients for trajectory analyses, with a median of 3 measurements per patient (IQR, 3–4).</w:t>
      </w:r>
    </w:p>
    <w:p w14:paraId="0B1B1DBF" w14:textId="77777777" w:rsidR="00761D2A" w:rsidRPr="00C9554F" w:rsidRDefault="00761D2A" w:rsidP="00761D2A">
      <w:pPr>
        <w:spacing w:after="0" w:line="360" w:lineRule="auto"/>
        <w:ind w:firstLineChars="100" w:firstLine="240"/>
        <w:jc w:val="both"/>
      </w:pPr>
      <w:r w:rsidRPr="00C9554F">
        <w:t>Peg-IFNα-2b add-on therapy was administered as a finite-duration treatment in routine clinical practice rather than according to a trial-mandated discontinuation protocol. Treatment discontinuation was determined by the treating physicians based on routine clinical considerations, including completion of the planned treatment course, safety or tolerability concerns, insufficient response, or patient preference. Because detailed reasons for Peg-IFNα-2b discontinuation were not consistently documented in the medical records, discontinuation reasons were not formally analyzed.</w:t>
      </w:r>
    </w:p>
    <w:p w14:paraId="6CDF9230" w14:textId="77777777" w:rsidR="0067415F" w:rsidRPr="00761D2A" w:rsidRDefault="0067415F" w:rsidP="00761D2A"/>
    <w:sectPr w:rsidR="0067415F" w:rsidRPr="00761D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EC"/>
    <w:rsid w:val="002E096C"/>
    <w:rsid w:val="004244E6"/>
    <w:rsid w:val="004D00A8"/>
    <w:rsid w:val="005A148B"/>
    <w:rsid w:val="0067415F"/>
    <w:rsid w:val="00761D2A"/>
    <w:rsid w:val="00A5293E"/>
    <w:rsid w:val="00F7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C684"/>
  <w15:chartTrackingRefBased/>
  <w15:docId w15:val="{E6FC8368-3DC4-4407-B2AC-859BB2DF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5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5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5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5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5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5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5EC"/>
    <w:rPr>
      <w:rFonts w:eastAsiaTheme="majorEastAsia" w:cstheme="majorBidi"/>
      <w:color w:val="272727" w:themeColor="text1" w:themeTint="D8"/>
    </w:rPr>
  </w:style>
  <w:style w:type="paragraph" w:styleId="Title">
    <w:name w:val="Title"/>
    <w:basedOn w:val="Normal"/>
    <w:next w:val="Normal"/>
    <w:link w:val="TitleChar"/>
    <w:uiPriority w:val="10"/>
    <w:qFormat/>
    <w:rsid w:val="00F7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5EC"/>
    <w:pPr>
      <w:spacing w:before="160"/>
      <w:jc w:val="center"/>
    </w:pPr>
    <w:rPr>
      <w:i/>
      <w:iCs/>
      <w:color w:val="404040" w:themeColor="text1" w:themeTint="BF"/>
    </w:rPr>
  </w:style>
  <w:style w:type="character" w:customStyle="1" w:styleId="QuoteChar">
    <w:name w:val="Quote Char"/>
    <w:basedOn w:val="DefaultParagraphFont"/>
    <w:link w:val="Quote"/>
    <w:uiPriority w:val="29"/>
    <w:rsid w:val="00F765EC"/>
    <w:rPr>
      <w:i/>
      <w:iCs/>
      <w:color w:val="404040" w:themeColor="text1" w:themeTint="BF"/>
    </w:rPr>
  </w:style>
  <w:style w:type="paragraph" w:styleId="ListParagraph">
    <w:name w:val="List Paragraph"/>
    <w:basedOn w:val="Normal"/>
    <w:uiPriority w:val="34"/>
    <w:qFormat/>
    <w:rsid w:val="00F765EC"/>
    <w:pPr>
      <w:ind w:left="720"/>
      <w:contextualSpacing/>
    </w:pPr>
  </w:style>
  <w:style w:type="character" w:styleId="IntenseEmphasis">
    <w:name w:val="Intense Emphasis"/>
    <w:basedOn w:val="DefaultParagraphFont"/>
    <w:uiPriority w:val="21"/>
    <w:qFormat/>
    <w:rsid w:val="00F765EC"/>
    <w:rPr>
      <w:i/>
      <w:iCs/>
      <w:color w:val="2F5496" w:themeColor="accent1" w:themeShade="BF"/>
    </w:rPr>
  </w:style>
  <w:style w:type="paragraph" w:styleId="IntenseQuote">
    <w:name w:val="Intense Quote"/>
    <w:basedOn w:val="Normal"/>
    <w:next w:val="Normal"/>
    <w:link w:val="IntenseQuoteChar"/>
    <w:uiPriority w:val="30"/>
    <w:qFormat/>
    <w:rsid w:val="00F7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5EC"/>
    <w:rPr>
      <w:i/>
      <w:iCs/>
      <w:color w:val="2F5496" w:themeColor="accent1" w:themeShade="BF"/>
    </w:rPr>
  </w:style>
  <w:style w:type="character" w:styleId="IntenseReference">
    <w:name w:val="Intense Reference"/>
    <w:basedOn w:val="DefaultParagraphFont"/>
    <w:uiPriority w:val="32"/>
    <w:qFormat/>
    <w:rsid w:val="00F76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4</cp:revision>
  <dcterms:created xsi:type="dcterms:W3CDTF">2026-07-11T13:08:00Z</dcterms:created>
  <dcterms:modified xsi:type="dcterms:W3CDTF">2026-07-22T07:20:00Z</dcterms:modified>
</cp:coreProperties>
</file>