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6B7D" w14:textId="1D5CEB27" w:rsidR="00D10060" w:rsidRDefault="004B77D1">
      <w:pPr>
        <w:pStyle w:val="a3"/>
        <w:widowControl/>
        <w:shd w:val="clear" w:color="auto" w:fill="FFFFFF"/>
        <w:spacing w:before="160" w:after="160"/>
        <w:rPr>
          <w:rFonts w:ascii="Times New Roman" w:eastAsia="Segoe UI" w:hAnsi="Times New Roman" w:cs="Times New Roman"/>
          <w:color w:val="0F1115"/>
          <w:sz w:val="18"/>
          <w:szCs w:val="18"/>
        </w:rPr>
      </w:pPr>
      <w:r>
        <w:rPr>
          <w:rStyle w:val="a4"/>
          <w:rFonts w:ascii="Times New Roman" w:eastAsia="Segoe UI" w:hAnsi="Times New Roman" w:cs="Times New Roman"/>
          <w:bCs/>
          <w:color w:val="0F1115"/>
          <w:sz w:val="18"/>
          <w:szCs w:val="18"/>
          <w:shd w:val="clear" w:color="auto" w:fill="FFFFFF"/>
        </w:rPr>
        <w:t>Supplementary Table.</w:t>
      </w:r>
      <w:r w:rsidR="00452927">
        <w:rPr>
          <w:rStyle w:val="a4"/>
          <w:rFonts w:ascii="Times New Roman" w:eastAsia="Segoe UI" w:hAnsi="Times New Roman" w:cs="Times New Roman"/>
          <w:bCs/>
          <w:color w:val="0F1115"/>
          <w:sz w:val="18"/>
          <w:szCs w:val="18"/>
          <w:shd w:val="clear" w:color="auto" w:fill="FFFFFF"/>
        </w:rPr>
        <w:t xml:space="preserve"> </w:t>
      </w:r>
      <w:r w:rsidR="00452927">
        <w:rPr>
          <w:rStyle w:val="a4"/>
          <w:rFonts w:ascii="Times New Roman" w:eastAsia="宋体" w:hAnsi="Times New Roman" w:cs="Times New Roman" w:hint="eastAsia"/>
          <w:bCs/>
          <w:color w:val="0F1115"/>
          <w:sz w:val="18"/>
          <w:szCs w:val="18"/>
          <w:shd w:val="clear" w:color="auto" w:fill="FFFFFF"/>
        </w:rPr>
        <w:t>7</w:t>
      </w:r>
      <w:r w:rsidR="00452927">
        <w:rPr>
          <w:rStyle w:val="a4"/>
          <w:rFonts w:ascii="Times New Roman" w:eastAsia="Segoe UI" w:hAnsi="Times New Roman" w:cs="Times New Roman"/>
          <w:bCs/>
          <w:color w:val="0F1115"/>
          <w:sz w:val="18"/>
          <w:szCs w:val="18"/>
          <w:shd w:val="clear" w:color="auto" w:fill="FFFFFF"/>
        </w:rPr>
        <w:t xml:space="preserve">. Sensitivity analysis using a stricter </w:t>
      </w:r>
      <w:r w:rsidR="00452927">
        <w:rPr>
          <w:rStyle w:val="a4"/>
          <w:rFonts w:ascii="Times New Roman" w:eastAsia="Segoe UI" w:hAnsi="Times New Roman" w:cs="Times New Roman"/>
          <w:bCs/>
          <w:i/>
          <w:iCs/>
          <w:color w:val="0F1115"/>
          <w:sz w:val="18"/>
          <w:szCs w:val="18"/>
          <w:shd w:val="clear" w:color="auto" w:fill="FFFFFF"/>
        </w:rPr>
        <w:t>P</w:t>
      </w:r>
      <w:r w:rsidR="00452927">
        <w:rPr>
          <w:rStyle w:val="a4"/>
          <w:rFonts w:ascii="Times New Roman" w:eastAsia="Segoe UI" w:hAnsi="Times New Roman" w:cs="Times New Roman"/>
          <w:bCs/>
          <w:color w:val="0F1115"/>
          <w:sz w:val="18"/>
          <w:szCs w:val="18"/>
          <w:shd w:val="clear" w:color="auto" w:fill="FFFFFF"/>
        </w:rPr>
        <w:t>-value threshold (</w:t>
      </w:r>
      <w:r w:rsidR="00452927">
        <w:rPr>
          <w:rStyle w:val="a4"/>
          <w:rFonts w:ascii="Times New Roman" w:eastAsia="Segoe UI" w:hAnsi="Times New Roman" w:cs="Times New Roman"/>
          <w:bCs/>
          <w:i/>
          <w:iCs/>
          <w:color w:val="0F1115"/>
          <w:sz w:val="18"/>
          <w:szCs w:val="18"/>
          <w:shd w:val="clear" w:color="auto" w:fill="FFFFFF"/>
        </w:rPr>
        <w:t>P</w:t>
      </w:r>
      <w:r w:rsidR="00452927">
        <w:rPr>
          <w:rStyle w:val="a4"/>
          <w:rFonts w:ascii="Times New Roman" w:eastAsia="Segoe UI" w:hAnsi="Times New Roman" w:cs="Times New Roman"/>
          <w:bCs/>
          <w:color w:val="0F1115"/>
          <w:sz w:val="18"/>
          <w:szCs w:val="18"/>
          <w:shd w:val="clear" w:color="auto" w:fill="FFFFFF"/>
        </w:rPr>
        <w:t xml:space="preserve"> &lt; 1×10⁻⁶) for ITP, AGC, and MDS exposures</w:t>
      </w:r>
    </w:p>
    <w:tbl>
      <w:tblPr>
        <w:tblW w:w="852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1059"/>
        <w:gridCol w:w="1253"/>
        <w:gridCol w:w="1152"/>
        <w:gridCol w:w="971"/>
        <w:gridCol w:w="1076"/>
        <w:gridCol w:w="758"/>
        <w:gridCol w:w="1454"/>
      </w:tblGrid>
      <w:tr w:rsidR="00D10060" w14:paraId="716B6C63" w14:textId="77777777">
        <w:trPr>
          <w:tblHeader/>
          <w:jc w:val="center"/>
        </w:trPr>
        <w:tc>
          <w:tcPr>
            <w:tcW w:w="79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2B2F37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Exposure</w:t>
            </w: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7A4EC2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i/>
                <w:iCs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 xml:space="preserve"> threshold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2983D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SNPs after selection</w:t>
            </w: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8A7F1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Mean F-statistic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94215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MR method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6CF0CC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OR (95% CI)</w:t>
            </w:r>
          </w:p>
        </w:tc>
        <w:tc>
          <w:tcPr>
            <w:tcW w:w="75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E5CAE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i/>
                <w:iCs/>
                <w:kern w:val="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-value</w:t>
            </w:r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32CE0D5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b/>
                <w:kern w:val="0"/>
                <w:sz w:val="15"/>
                <w:szCs w:val="15"/>
                <w:lang w:bidi="ar"/>
              </w:rPr>
              <w:t>Note</w:t>
            </w:r>
          </w:p>
        </w:tc>
      </w:tr>
      <w:tr w:rsidR="00D10060" w14:paraId="5C992878" w14:textId="77777777">
        <w:trPr>
          <w:jc w:val="center"/>
        </w:trPr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F3B4D04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ITP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8B40C3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5×10⁻⁵ (original)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8AEEE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080D8E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18.3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04671BC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IVW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546295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1.00 (0.96–1.04)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5BD4A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0.851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96B9015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Primary analysis</w:t>
            </w:r>
          </w:p>
        </w:tc>
      </w:tr>
      <w:tr w:rsidR="00D10060" w14:paraId="2944D337" w14:textId="77777777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5165B23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ITP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2822D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1×10⁻⁶ (stricter)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00A0A4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4224EB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18.3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349CF0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82D342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86B09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CB71460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Insufficient SNPs (less than 3) for MR</w:t>
            </w:r>
          </w:p>
        </w:tc>
      </w:tr>
      <w:tr w:rsidR="00D10060" w14:paraId="7F71B300" w14:textId="77777777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EBC7A24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AGC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A76E3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5×10⁻⁵ (original)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5A380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DF3CB6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19.4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B25974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IVW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16FD9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1.04 (0.96–1.12)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B6CEF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0.373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3D2E40B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Primary analysis</w:t>
            </w:r>
          </w:p>
        </w:tc>
      </w:tr>
      <w:tr w:rsidR="00D10060" w14:paraId="75310C93" w14:textId="77777777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0CB8AF3E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AGC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875B5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1×10⁻⁶ (stricter)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62F74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51B12F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C8E69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6D8AAF5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D37B59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6D10C65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No SNP available</w:t>
            </w:r>
          </w:p>
        </w:tc>
      </w:tr>
      <w:tr w:rsidR="00D10060" w14:paraId="00DCB0C2" w14:textId="77777777">
        <w:trPr>
          <w:jc w:val="center"/>
        </w:trPr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75BAC41B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MDS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0B8EED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5×10⁻⁵ (original)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0FCD8E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024F73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18.3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F72647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IVW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5056F7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0.96 (0.93–0.99)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2D3C3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0.023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7F183E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Primary analysis</w:t>
            </w:r>
          </w:p>
        </w:tc>
      </w:tr>
      <w:tr w:rsidR="00D10060" w14:paraId="2E2C46FE" w14:textId="77777777">
        <w:trPr>
          <w:jc w:val="center"/>
        </w:trPr>
        <w:tc>
          <w:tcPr>
            <w:tcW w:w="79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DFD6A3F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MDS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1BCD87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1×10⁻⁶ (stricter)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BAAFCA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510F01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24.1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95CEE7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56CFE2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6CBEF35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—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4DB22337" w14:textId="77777777" w:rsidR="00D10060" w:rsidRDefault="00452927">
            <w:pPr>
              <w:widowControl/>
              <w:snapToGrid w:val="0"/>
              <w:jc w:val="center"/>
              <w:rPr>
                <w:rFonts w:ascii="Times New Roman" w:eastAsia="Segoe UI" w:hAnsi="Times New Roman" w:cs="Times New Roman"/>
                <w:sz w:val="15"/>
                <w:szCs w:val="15"/>
              </w:rPr>
            </w:pPr>
            <w:r>
              <w:rPr>
                <w:rFonts w:ascii="Times New Roman" w:eastAsia="Segoe UI" w:hAnsi="Times New Roman" w:cs="Times New Roman"/>
                <w:kern w:val="0"/>
                <w:sz w:val="15"/>
                <w:szCs w:val="15"/>
                <w:lang w:bidi="ar"/>
              </w:rPr>
              <w:t>Single SNP, MR not feasible</w:t>
            </w:r>
          </w:p>
        </w:tc>
      </w:tr>
    </w:tbl>
    <w:p w14:paraId="065A0902" w14:textId="10F7E88A" w:rsidR="00D10060" w:rsidRPr="007C0A5E" w:rsidRDefault="00452927" w:rsidP="004B77D1">
      <w:pPr>
        <w:widowControl/>
        <w:snapToGrid w:val="0"/>
        <w:rPr>
          <w:rFonts w:ascii="Times New Roman" w:hAnsi="Times New Roman" w:cs="Times New Roman" w:hint="eastAsia"/>
          <w:kern w:val="0"/>
          <w:sz w:val="16"/>
          <w:szCs w:val="16"/>
          <w:lang w:bidi="ar"/>
        </w:rPr>
      </w:pP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This table presents the results of a sensitivity analysis evaluating the impact of using a more stringent 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>-value threshold (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 &lt; 1 × 10⁻⁶) for instrument selection for immune thrombocytopenia (ITP), agranulocytosis (AGC), and myelodysplastic syndromes (MDS). For each exposure, the original relaxed threshold (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 &lt; 5 × 10⁻⁵) and the stricter threshold (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 &lt; 1 × 10⁻⁶) are compared. The following information is provided: the 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-value threshold used, the number of single nucleotide polymorphisms (SNPs) remaining after selection, the mean F-statistic, the Mendelian randomization method applied, the odds ratio with 95% confidence interval, the 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>-value, and a note on the feasibility of the analysis. As shown, applying the stricter threshold resulted in very few or zero SNPs (ITP: 2 SNPs, AGC: 0 SNPs, MDS: 1 SNP), which precluded reliable Mendelian randomization estimation. This confirms that the original relaxed threshold (</w:t>
      </w:r>
      <w:r>
        <w:rPr>
          <w:rFonts w:ascii="Times New Roman" w:eastAsia="Segoe UI" w:hAnsi="Times New Roman" w:cs="Times New Roman"/>
          <w:i/>
          <w:iCs/>
          <w:kern w:val="0"/>
          <w:sz w:val="16"/>
          <w:szCs w:val="16"/>
          <w:lang w:bidi="ar"/>
        </w:rPr>
        <w:t>P</w:t>
      </w:r>
      <w:r>
        <w:rPr>
          <w:rFonts w:ascii="Times New Roman" w:eastAsia="Segoe UI" w:hAnsi="Times New Roman" w:cs="Times New Roman"/>
          <w:kern w:val="0"/>
          <w:sz w:val="16"/>
          <w:szCs w:val="16"/>
          <w:lang w:bidi="ar"/>
        </w:rPr>
        <w:t xml:space="preserve"> &lt; 5 × 10⁻⁵) was necessary to obtain a sufficient number of instrumental variables for meaningful analysis, while also highlighting the limitation of small instrument sets and the need for larger genome-wide association studies for these rare hematologic disorders.</w:t>
      </w:r>
      <w:r w:rsidR="007C0A5E">
        <w:rPr>
          <w:rFonts w:ascii="Times New Roman" w:hAnsi="Times New Roman" w:cs="Times New Roman" w:hint="eastAsia"/>
          <w:kern w:val="0"/>
          <w:sz w:val="16"/>
          <w:szCs w:val="16"/>
          <w:lang w:bidi="ar"/>
        </w:rPr>
        <w:t xml:space="preserve"> </w:t>
      </w:r>
      <w:r w:rsidR="007C0A5E" w:rsidRPr="007C0A5E">
        <w:rPr>
          <w:rFonts w:ascii="Times New Roman" w:hAnsi="Times New Roman" w:cs="Times New Roman"/>
          <w:kern w:val="0"/>
          <w:sz w:val="16"/>
          <w:szCs w:val="16"/>
          <w:lang w:bidi="ar"/>
        </w:rPr>
        <w:t>CI, confidence interval; IVW, inverse-variance weighted; MR, Mendelian randomization; OR, odds ratio.</w:t>
      </w:r>
    </w:p>
    <w:p w14:paraId="26251EA0" w14:textId="0E8D6CCE" w:rsidR="00D10060" w:rsidRPr="007C0A5E" w:rsidRDefault="007C0A5E">
      <w:pPr>
        <w:widowControl/>
        <w:snapToGrid w:val="0"/>
        <w:jc w:val="center"/>
        <w:rPr>
          <w:rFonts w:ascii="Times New Roman" w:hAnsi="Times New Roman" w:cs="Times New Roman" w:hint="eastAsia"/>
          <w:kern w:val="0"/>
          <w:sz w:val="15"/>
          <w:szCs w:val="15"/>
          <w:lang w:bidi="ar"/>
        </w:rPr>
      </w:pPr>
      <w:r>
        <w:rPr>
          <w:rFonts w:ascii="Times New Roman" w:hAnsi="Times New Roman" w:cs="Times New Roman" w:hint="eastAsia"/>
          <w:kern w:val="0"/>
          <w:sz w:val="15"/>
          <w:szCs w:val="15"/>
          <w:lang w:bidi="ar"/>
        </w:rPr>
        <w:t xml:space="preserve"> </w:t>
      </w:r>
    </w:p>
    <w:sectPr w:rsidR="00D10060" w:rsidRPr="007C0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EB41" w14:textId="77777777" w:rsidR="00BC5193" w:rsidRDefault="00BC5193" w:rsidP="004B77D1">
      <w:r>
        <w:separator/>
      </w:r>
    </w:p>
  </w:endnote>
  <w:endnote w:type="continuationSeparator" w:id="0">
    <w:p w14:paraId="33DD6B9C" w14:textId="77777777" w:rsidR="00BC5193" w:rsidRDefault="00BC5193" w:rsidP="004B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82F5" w14:textId="77777777" w:rsidR="00BC5193" w:rsidRDefault="00BC5193" w:rsidP="004B77D1">
      <w:r>
        <w:separator/>
      </w:r>
    </w:p>
  </w:footnote>
  <w:footnote w:type="continuationSeparator" w:id="0">
    <w:p w14:paraId="3CEC3F26" w14:textId="77777777" w:rsidR="00BC5193" w:rsidRDefault="00BC5193" w:rsidP="004B7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123682"/>
    <w:rsid w:val="00154CFA"/>
    <w:rsid w:val="00350540"/>
    <w:rsid w:val="0044005B"/>
    <w:rsid w:val="00452927"/>
    <w:rsid w:val="004B77D1"/>
    <w:rsid w:val="005657D1"/>
    <w:rsid w:val="00617388"/>
    <w:rsid w:val="0077700E"/>
    <w:rsid w:val="007C0A5E"/>
    <w:rsid w:val="009213AB"/>
    <w:rsid w:val="00930377"/>
    <w:rsid w:val="00A21F38"/>
    <w:rsid w:val="00BC5193"/>
    <w:rsid w:val="00CA1A9C"/>
    <w:rsid w:val="00D10060"/>
    <w:rsid w:val="00EB6310"/>
    <w:rsid w:val="00EC3814"/>
    <w:rsid w:val="274A4247"/>
    <w:rsid w:val="30123682"/>
    <w:rsid w:val="33082D45"/>
    <w:rsid w:val="5E3A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DAF5D"/>
  <w15:docId w15:val="{8B5FD0DF-D4B3-468F-BE3F-FD856127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header"/>
    <w:basedOn w:val="a"/>
    <w:link w:val="a6"/>
    <w:rsid w:val="004B77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B77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4B7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B77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Revision"/>
    <w:hidden/>
    <w:uiPriority w:val="99"/>
    <w:unhideWhenUsed/>
    <w:rsid w:val="004B77D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GTY</dc:creator>
  <cp:lastModifiedBy>Editor</cp:lastModifiedBy>
  <cp:revision>7</cp:revision>
  <dcterms:created xsi:type="dcterms:W3CDTF">2026-04-24T04:18:00Z</dcterms:created>
  <dcterms:modified xsi:type="dcterms:W3CDTF">2026-07-17T03:13:00Z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34C526787E094B789F746202FA141FAC_11</vt:lpwstr>
  </property>
  <property fmtid="{D5CDD505-2E9C-101B-9397-08002B2CF9AE}" pid="4" name="KSOTemplateDocerSaveRecord">
    <vt:lpwstr>eyJoZGlkIjoiOThjZjI1MjI5ZmY3N2Y2M2Y4MjhlOGFlMjg4YTZmNTYiLCJ1c2VySWQiOiI0NTI4MjExMTMifQ==</vt:lpwstr>
  </property>
</Properties>
</file>