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B0EC" w14:textId="690C572F" w:rsidR="00DF677B" w:rsidRDefault="009A4614">
      <w:pPr>
        <w:pStyle w:val="a3"/>
        <w:spacing w:before="35" w:line="195" w:lineRule="auto"/>
        <w:rPr>
          <w:b/>
          <w:bCs/>
          <w:color w:val="0F1115"/>
          <w:spacing w:val="3"/>
        </w:rPr>
      </w:pPr>
      <w:r>
        <w:rPr>
          <w:b/>
          <w:bCs/>
          <w:color w:val="0F1115"/>
          <w:spacing w:val="3"/>
        </w:rPr>
        <w:t>Supplementary Table</w:t>
      </w:r>
      <w:r w:rsidR="005A0880">
        <w:rPr>
          <w:rFonts w:eastAsiaTheme="minorEastAsia" w:hint="eastAsia"/>
          <w:b/>
          <w:bCs/>
          <w:color w:val="0F1115"/>
          <w:spacing w:val="3"/>
          <w:lang w:eastAsia="zh-CN"/>
        </w:rPr>
        <w:t>.</w:t>
      </w:r>
      <w:r>
        <w:rPr>
          <w:b/>
          <w:bCs/>
          <w:color w:val="0F1115"/>
          <w:spacing w:val="3"/>
        </w:rPr>
        <w:t xml:space="preserve"> </w:t>
      </w:r>
      <w:r>
        <w:rPr>
          <w:rFonts w:eastAsia="宋体" w:hint="eastAsia"/>
          <w:b/>
          <w:bCs/>
          <w:color w:val="0F1115"/>
          <w:spacing w:val="3"/>
          <w:lang w:eastAsia="zh-CN"/>
        </w:rPr>
        <w:t>4.</w:t>
      </w:r>
      <w:r>
        <w:rPr>
          <w:b/>
          <w:bCs/>
          <w:color w:val="0F1115"/>
          <w:spacing w:val="3"/>
        </w:rPr>
        <w:t xml:space="preserve"> Summary of statistical power for bidirectional</w:t>
      </w:r>
      <w:r>
        <w:rPr>
          <w:b/>
          <w:bCs/>
          <w:color w:val="0F1115"/>
          <w:spacing w:val="10"/>
        </w:rPr>
        <w:t xml:space="preserve"> </w:t>
      </w:r>
      <w:r>
        <w:rPr>
          <w:b/>
          <w:bCs/>
          <w:color w:val="0F1115"/>
          <w:spacing w:val="3"/>
        </w:rPr>
        <w:t>Mendelian randomization</w:t>
      </w:r>
      <w:r>
        <w:rPr>
          <w:b/>
          <w:bCs/>
          <w:color w:val="0F1115"/>
          <w:spacing w:val="-10"/>
        </w:rPr>
        <w:t xml:space="preserve"> </w:t>
      </w:r>
      <w:r>
        <w:rPr>
          <w:b/>
          <w:bCs/>
          <w:color w:val="0F1115"/>
          <w:spacing w:val="3"/>
        </w:rPr>
        <w:t>analysis</w:t>
      </w:r>
    </w:p>
    <w:tbl>
      <w:tblPr>
        <w:tblStyle w:val="TableNormal"/>
        <w:tblW w:w="8299"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707"/>
        <w:gridCol w:w="850"/>
        <w:gridCol w:w="813"/>
        <w:gridCol w:w="472"/>
        <w:gridCol w:w="602"/>
        <w:gridCol w:w="1118"/>
        <w:gridCol w:w="663"/>
        <w:gridCol w:w="983"/>
        <w:gridCol w:w="2091"/>
      </w:tblGrid>
      <w:tr w:rsidR="00DF677B" w14:paraId="52635DB4" w14:textId="77777777">
        <w:trPr>
          <w:tblHeader/>
          <w:jc w:val="center"/>
        </w:trPr>
        <w:tc>
          <w:tcPr>
            <w:tcW w:w="0" w:type="auto"/>
            <w:tcBorders>
              <w:top w:val="single" w:sz="12" w:space="0" w:color="000000"/>
              <w:left w:val="nil"/>
              <w:bottom w:val="single" w:sz="4" w:space="0" w:color="000000"/>
              <w:right w:val="nil"/>
            </w:tcBorders>
            <w:tcMar>
              <w:top w:w="-1" w:type="dxa"/>
              <w:left w:w="-1" w:type="dxa"/>
              <w:bottom w:w="-1" w:type="dxa"/>
              <w:right w:w="-1" w:type="dxa"/>
            </w:tcMar>
            <w:vAlign w:val="center"/>
          </w:tcPr>
          <w:p w14:paraId="61B5FEF5" w14:textId="77777777" w:rsidR="00DF677B" w:rsidRDefault="009A4614">
            <w:pPr>
              <w:pStyle w:val="TableText"/>
              <w:spacing w:before="49"/>
              <w:jc w:val="center"/>
              <w:rPr>
                <w:b/>
                <w:bCs/>
                <w:color w:val="0F1115"/>
                <w:spacing w:val="-2"/>
              </w:rPr>
            </w:pPr>
            <w:r>
              <w:rPr>
                <w:b/>
                <w:bCs/>
                <w:color w:val="0F1115"/>
                <w:spacing w:val="-1"/>
              </w:rPr>
              <w:t>Analysis</w:t>
            </w:r>
          </w:p>
        </w:tc>
        <w:tc>
          <w:tcPr>
            <w:tcW w:w="0" w:type="auto"/>
            <w:tcBorders>
              <w:top w:val="single" w:sz="12" w:space="0" w:color="000000"/>
              <w:left w:val="nil"/>
              <w:bottom w:val="single" w:sz="4" w:space="0" w:color="000000"/>
              <w:right w:val="nil"/>
            </w:tcBorders>
            <w:tcMar>
              <w:top w:w="-1" w:type="dxa"/>
              <w:left w:w="-1" w:type="dxa"/>
              <w:bottom w:w="-1" w:type="dxa"/>
              <w:right w:w="-1" w:type="dxa"/>
            </w:tcMar>
            <w:vAlign w:val="center"/>
          </w:tcPr>
          <w:p w14:paraId="1E02DCEA" w14:textId="77777777" w:rsidR="00DF677B" w:rsidRDefault="009A4614">
            <w:pPr>
              <w:pStyle w:val="TableText"/>
              <w:spacing w:before="49"/>
              <w:jc w:val="center"/>
              <w:rPr>
                <w:b/>
                <w:bCs/>
                <w:color w:val="0F1115"/>
                <w:spacing w:val="-4"/>
              </w:rPr>
            </w:pPr>
            <w:proofErr w:type="spellStart"/>
            <w:r>
              <w:rPr>
                <w:b/>
                <w:bCs/>
                <w:color w:val="0F1115"/>
                <w:spacing w:val="-1"/>
              </w:rPr>
              <w:t>N_exposure</w:t>
            </w:r>
            <w:proofErr w:type="spellEnd"/>
          </w:p>
        </w:tc>
        <w:tc>
          <w:tcPr>
            <w:tcW w:w="0" w:type="auto"/>
            <w:tcBorders>
              <w:top w:val="single" w:sz="12" w:space="0" w:color="000000"/>
              <w:left w:val="nil"/>
              <w:bottom w:val="single" w:sz="4" w:space="0" w:color="000000"/>
              <w:right w:val="nil"/>
            </w:tcBorders>
            <w:tcMar>
              <w:top w:w="-1" w:type="dxa"/>
              <w:left w:w="-1" w:type="dxa"/>
              <w:bottom w:w="-1" w:type="dxa"/>
              <w:right w:w="-1" w:type="dxa"/>
            </w:tcMar>
            <w:vAlign w:val="center"/>
          </w:tcPr>
          <w:p w14:paraId="6EE1C3AA" w14:textId="77777777" w:rsidR="00DF677B" w:rsidRDefault="009A4614">
            <w:pPr>
              <w:pStyle w:val="TableText"/>
              <w:spacing w:before="49"/>
              <w:jc w:val="center"/>
              <w:rPr>
                <w:b/>
                <w:bCs/>
                <w:color w:val="0F1115"/>
                <w:spacing w:val="-1"/>
              </w:rPr>
            </w:pPr>
            <w:proofErr w:type="spellStart"/>
            <w:r>
              <w:rPr>
                <w:b/>
                <w:bCs/>
                <w:color w:val="0F1115"/>
                <w:spacing w:val="-1"/>
              </w:rPr>
              <w:t>N_outcome</w:t>
            </w:r>
            <w:proofErr w:type="spellEnd"/>
          </w:p>
        </w:tc>
        <w:tc>
          <w:tcPr>
            <w:tcW w:w="0" w:type="auto"/>
            <w:tcBorders>
              <w:top w:val="single" w:sz="12" w:space="0" w:color="000000"/>
              <w:left w:val="nil"/>
              <w:bottom w:val="single" w:sz="4" w:space="0" w:color="000000"/>
              <w:right w:val="nil"/>
            </w:tcBorders>
            <w:tcMar>
              <w:top w:w="-1" w:type="dxa"/>
              <w:left w:w="-1" w:type="dxa"/>
              <w:bottom w:w="-1" w:type="dxa"/>
              <w:right w:w="-1" w:type="dxa"/>
            </w:tcMar>
            <w:vAlign w:val="center"/>
          </w:tcPr>
          <w:p w14:paraId="661C359C" w14:textId="77777777" w:rsidR="00DF677B" w:rsidRDefault="009A4614">
            <w:pPr>
              <w:pStyle w:val="TableText"/>
              <w:spacing w:before="49"/>
              <w:jc w:val="center"/>
              <w:rPr>
                <w:b/>
                <w:bCs/>
                <w:color w:val="0F1115"/>
                <w:spacing w:val="-2"/>
              </w:rPr>
            </w:pPr>
            <w:proofErr w:type="spellStart"/>
            <w:r>
              <w:rPr>
                <w:b/>
                <w:bCs/>
                <w:color w:val="0F1115"/>
                <w:spacing w:val="-2"/>
              </w:rPr>
              <w:t>nSNPs</w:t>
            </w:r>
            <w:proofErr w:type="spellEnd"/>
          </w:p>
        </w:tc>
        <w:tc>
          <w:tcPr>
            <w:tcW w:w="0" w:type="auto"/>
            <w:tcBorders>
              <w:top w:val="single" w:sz="12" w:space="0" w:color="000000"/>
              <w:left w:val="nil"/>
              <w:bottom w:val="single" w:sz="4" w:space="0" w:color="000000"/>
              <w:right w:val="nil"/>
            </w:tcBorders>
            <w:tcMar>
              <w:top w:w="-1" w:type="dxa"/>
              <w:left w:w="-1" w:type="dxa"/>
              <w:bottom w:w="-1" w:type="dxa"/>
              <w:right w:w="-1" w:type="dxa"/>
            </w:tcMar>
            <w:vAlign w:val="center"/>
          </w:tcPr>
          <w:p w14:paraId="63418E64" w14:textId="77777777" w:rsidR="00DF677B" w:rsidRDefault="009A4614">
            <w:pPr>
              <w:pStyle w:val="TableText"/>
              <w:spacing w:before="49"/>
              <w:jc w:val="center"/>
              <w:rPr>
                <w:b/>
                <w:bCs/>
                <w:color w:val="0F1115"/>
                <w:spacing w:val="-1"/>
              </w:rPr>
            </w:pPr>
            <w:r>
              <w:rPr>
                <w:b/>
                <w:bCs/>
                <w:color w:val="0F1115"/>
                <w:spacing w:val="-2"/>
              </w:rPr>
              <w:t>IVW</w:t>
            </w:r>
            <w:r>
              <w:rPr>
                <w:b/>
                <w:bCs/>
                <w:color w:val="0F1115"/>
                <w:spacing w:val="11"/>
                <w:w w:val="101"/>
              </w:rPr>
              <w:t xml:space="preserve"> </w:t>
            </w:r>
            <w:r>
              <w:rPr>
                <w:b/>
                <w:bCs/>
                <w:color w:val="0F1115"/>
                <w:spacing w:val="-2"/>
              </w:rPr>
              <w:t>β</w:t>
            </w:r>
          </w:p>
        </w:tc>
        <w:tc>
          <w:tcPr>
            <w:tcW w:w="0" w:type="auto"/>
            <w:tcBorders>
              <w:top w:val="single" w:sz="12" w:space="0" w:color="000000"/>
              <w:left w:val="nil"/>
              <w:bottom w:val="single" w:sz="4" w:space="0" w:color="000000"/>
              <w:right w:val="nil"/>
            </w:tcBorders>
            <w:tcMar>
              <w:top w:w="-1" w:type="dxa"/>
              <w:left w:w="-1" w:type="dxa"/>
              <w:bottom w:w="-1" w:type="dxa"/>
              <w:right w:w="-1" w:type="dxa"/>
            </w:tcMar>
            <w:vAlign w:val="center"/>
          </w:tcPr>
          <w:p w14:paraId="650081AB" w14:textId="77777777" w:rsidR="00DF677B" w:rsidRDefault="009A4614">
            <w:pPr>
              <w:pStyle w:val="TableText"/>
              <w:spacing w:before="49"/>
              <w:jc w:val="center"/>
              <w:rPr>
                <w:b/>
                <w:bCs/>
                <w:color w:val="0F1115"/>
                <w:spacing w:val="-6"/>
              </w:rPr>
            </w:pPr>
            <w:proofErr w:type="spellStart"/>
            <w:r>
              <w:rPr>
                <w:b/>
                <w:bCs/>
                <w:color w:val="0F1115"/>
                <w:spacing w:val="-1"/>
              </w:rPr>
              <w:t>MeanF</w:t>
            </w:r>
            <w:proofErr w:type="spellEnd"/>
            <w:r>
              <w:rPr>
                <w:b/>
                <w:bCs/>
                <w:color w:val="0F1115"/>
                <w:spacing w:val="-1"/>
              </w:rPr>
              <w:t>-statistic</w:t>
            </w:r>
          </w:p>
        </w:tc>
        <w:tc>
          <w:tcPr>
            <w:tcW w:w="0" w:type="auto"/>
            <w:tcBorders>
              <w:top w:val="single" w:sz="12" w:space="0" w:color="000000"/>
              <w:left w:val="nil"/>
              <w:bottom w:val="single" w:sz="4" w:space="0" w:color="000000"/>
              <w:right w:val="nil"/>
            </w:tcBorders>
            <w:tcMar>
              <w:top w:w="-1" w:type="dxa"/>
              <w:left w:w="-1" w:type="dxa"/>
              <w:bottom w:w="-1" w:type="dxa"/>
              <w:right w:w="-1" w:type="dxa"/>
            </w:tcMar>
            <w:vAlign w:val="center"/>
          </w:tcPr>
          <w:p w14:paraId="5F7B7A2D" w14:textId="77777777" w:rsidR="00DF677B" w:rsidRDefault="009A4614">
            <w:pPr>
              <w:pStyle w:val="TableText"/>
              <w:spacing w:before="49"/>
              <w:jc w:val="center"/>
              <w:rPr>
                <w:b/>
                <w:bCs/>
                <w:color w:val="0F1115"/>
                <w:spacing w:val="-1"/>
              </w:rPr>
            </w:pPr>
            <w:r>
              <w:rPr>
                <w:b/>
                <w:bCs/>
                <w:color w:val="0F1115"/>
                <w:spacing w:val="-1"/>
              </w:rPr>
              <w:t>Total R²</w:t>
            </w:r>
          </w:p>
        </w:tc>
        <w:tc>
          <w:tcPr>
            <w:tcW w:w="0" w:type="auto"/>
            <w:tcBorders>
              <w:top w:val="single" w:sz="12" w:space="0" w:color="000000"/>
              <w:left w:val="nil"/>
              <w:bottom w:val="single" w:sz="4" w:space="0" w:color="000000"/>
              <w:right w:val="nil"/>
            </w:tcBorders>
            <w:tcMar>
              <w:top w:w="-1" w:type="dxa"/>
              <w:left w:w="-1" w:type="dxa"/>
              <w:bottom w:w="-1" w:type="dxa"/>
              <w:right w:w="-1" w:type="dxa"/>
            </w:tcMar>
            <w:vAlign w:val="center"/>
          </w:tcPr>
          <w:p w14:paraId="1F0AF042" w14:textId="77777777" w:rsidR="00DF677B" w:rsidRDefault="009A4614">
            <w:pPr>
              <w:pStyle w:val="TableText"/>
              <w:spacing w:before="49"/>
              <w:jc w:val="center"/>
              <w:rPr>
                <w:b/>
                <w:bCs/>
                <w:color w:val="0F1115"/>
                <w:spacing w:val="-1"/>
              </w:rPr>
            </w:pPr>
            <w:r>
              <w:rPr>
                <w:b/>
                <w:bCs/>
                <w:color w:val="0F1115"/>
                <w:spacing w:val="-1"/>
              </w:rPr>
              <w:t>Power,</w:t>
            </w:r>
            <w:r>
              <w:rPr>
                <w:rFonts w:hint="eastAsia"/>
                <w:b/>
                <w:bCs/>
                <w:color w:val="0F1115"/>
                <w:spacing w:val="-1"/>
                <w:lang w:eastAsia="zh-CN"/>
              </w:rPr>
              <w:t xml:space="preserve"> </w:t>
            </w:r>
            <w:r>
              <w:rPr>
                <w:b/>
                <w:bCs/>
                <w:color w:val="0F1115"/>
                <w:spacing w:val="-1"/>
                <w:position w:val="1"/>
              </w:rPr>
              <w:t>α</w:t>
            </w:r>
            <w:r>
              <w:rPr>
                <w:rFonts w:hint="eastAsia"/>
                <w:b/>
                <w:bCs/>
                <w:color w:val="0F1115"/>
                <w:spacing w:val="-1"/>
                <w:position w:val="1"/>
                <w:lang w:eastAsia="zh-CN"/>
              </w:rPr>
              <w:t xml:space="preserve"> </w:t>
            </w:r>
            <w:r>
              <w:rPr>
                <w:b/>
                <w:bCs/>
                <w:color w:val="0F1115"/>
                <w:spacing w:val="-1"/>
                <w:position w:val="1"/>
              </w:rPr>
              <w:t>=</w:t>
            </w:r>
            <w:r>
              <w:rPr>
                <w:rFonts w:hint="eastAsia"/>
                <w:b/>
                <w:bCs/>
                <w:color w:val="0F1115"/>
                <w:spacing w:val="-1"/>
                <w:position w:val="1"/>
                <w:lang w:eastAsia="zh-CN"/>
              </w:rPr>
              <w:t xml:space="preserve"> </w:t>
            </w:r>
            <w:r>
              <w:rPr>
                <w:b/>
                <w:bCs/>
                <w:color w:val="0F1115"/>
                <w:spacing w:val="-1"/>
                <w:position w:val="1"/>
              </w:rPr>
              <w:t>0.05</w:t>
            </w:r>
          </w:p>
        </w:tc>
        <w:tc>
          <w:tcPr>
            <w:tcW w:w="2091" w:type="dxa"/>
            <w:tcBorders>
              <w:top w:val="single" w:sz="12" w:space="0" w:color="000000"/>
              <w:left w:val="nil"/>
              <w:bottom w:val="single" w:sz="4" w:space="0" w:color="000000"/>
              <w:right w:val="nil"/>
            </w:tcBorders>
            <w:tcMar>
              <w:top w:w="-1" w:type="dxa"/>
              <w:left w:w="-1" w:type="dxa"/>
              <w:bottom w:w="-1" w:type="dxa"/>
              <w:right w:w="-1" w:type="dxa"/>
            </w:tcMar>
            <w:vAlign w:val="center"/>
          </w:tcPr>
          <w:p w14:paraId="01AFDAA3" w14:textId="77777777" w:rsidR="00DF677B" w:rsidRDefault="009A4614">
            <w:pPr>
              <w:pStyle w:val="TableText"/>
              <w:spacing w:before="48"/>
              <w:jc w:val="center"/>
              <w:rPr>
                <w:b/>
                <w:bCs/>
                <w:color w:val="0F1115"/>
                <w:spacing w:val="-1"/>
              </w:rPr>
            </w:pPr>
            <w:r>
              <w:rPr>
                <w:b/>
                <w:bCs/>
                <w:color w:val="0F1115"/>
                <w:spacing w:val="-1"/>
              </w:rPr>
              <w:t>Interpretation</w:t>
            </w:r>
          </w:p>
        </w:tc>
      </w:tr>
      <w:tr w:rsidR="00DF677B" w14:paraId="10689EF4" w14:textId="77777777">
        <w:trPr>
          <w:jc w:val="center"/>
        </w:trPr>
        <w:tc>
          <w:tcPr>
            <w:tcW w:w="0" w:type="auto"/>
            <w:tcBorders>
              <w:top w:val="single" w:sz="4" w:space="0" w:color="000000"/>
              <w:left w:val="nil"/>
              <w:bottom w:val="nil"/>
              <w:right w:val="nil"/>
            </w:tcBorders>
            <w:tcMar>
              <w:top w:w="-1" w:type="dxa"/>
              <w:left w:w="-1" w:type="dxa"/>
              <w:bottom w:w="-1" w:type="dxa"/>
              <w:right w:w="-1" w:type="dxa"/>
            </w:tcMar>
            <w:vAlign w:val="center"/>
          </w:tcPr>
          <w:p w14:paraId="490EAEF7" w14:textId="77777777" w:rsidR="00DF677B" w:rsidRDefault="009A4614">
            <w:pPr>
              <w:pStyle w:val="TableText"/>
              <w:spacing w:before="49"/>
              <w:jc w:val="center"/>
            </w:pPr>
            <w:r>
              <w:rPr>
                <w:b/>
                <w:bCs/>
                <w:color w:val="0F1115"/>
                <w:spacing w:val="-2"/>
              </w:rPr>
              <w:t>SLE →</w:t>
            </w:r>
            <w:r>
              <w:rPr>
                <w:b/>
                <w:bCs/>
                <w:color w:val="0F1115"/>
                <w:spacing w:val="9"/>
              </w:rPr>
              <w:t xml:space="preserve"> </w:t>
            </w:r>
            <w:r>
              <w:rPr>
                <w:b/>
                <w:bCs/>
                <w:color w:val="0F1115"/>
                <w:spacing w:val="-2"/>
              </w:rPr>
              <w:t>B12DA</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535B0BC7" w14:textId="77777777" w:rsidR="00DF677B" w:rsidRDefault="009A4614">
            <w:pPr>
              <w:pStyle w:val="TableText"/>
              <w:spacing w:before="49"/>
              <w:jc w:val="center"/>
            </w:pPr>
            <w:r>
              <w:rPr>
                <w:color w:val="0F1115"/>
                <w:spacing w:val="-4"/>
              </w:rPr>
              <w:t>14,267</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66DFA729" w14:textId="77777777" w:rsidR="00DF677B" w:rsidRDefault="009A4614">
            <w:pPr>
              <w:pStyle w:val="TableText"/>
              <w:spacing w:before="49"/>
              <w:jc w:val="center"/>
            </w:pPr>
            <w:r>
              <w:rPr>
                <w:color w:val="0F1115"/>
                <w:spacing w:val="-1"/>
              </w:rPr>
              <w:t>397,378</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2D1CAFE1" w14:textId="77777777" w:rsidR="00DF677B" w:rsidRDefault="009A4614">
            <w:pPr>
              <w:pStyle w:val="TableText"/>
              <w:spacing w:before="49"/>
              <w:jc w:val="center"/>
            </w:pPr>
            <w:r>
              <w:rPr>
                <w:color w:val="0F1115"/>
                <w:spacing w:val="-2"/>
              </w:rPr>
              <w:t>20</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4094185D" w14:textId="77777777" w:rsidR="00DF677B" w:rsidRDefault="009A4614">
            <w:pPr>
              <w:pStyle w:val="TableText"/>
              <w:spacing w:before="49"/>
              <w:jc w:val="center"/>
            </w:pPr>
            <w:r>
              <w:rPr>
                <w:color w:val="0F1115"/>
                <w:spacing w:val="-1"/>
              </w:rPr>
              <w:t>0.080</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0C778885" w14:textId="77777777" w:rsidR="00DF677B" w:rsidRDefault="009A4614">
            <w:pPr>
              <w:pStyle w:val="TableText"/>
              <w:spacing w:before="49"/>
              <w:jc w:val="center"/>
            </w:pPr>
            <w:r>
              <w:rPr>
                <w:color w:val="0F1115"/>
                <w:spacing w:val="-6"/>
              </w:rPr>
              <w:t>71.</w:t>
            </w:r>
            <w:r>
              <w:rPr>
                <w:color w:val="0F1115"/>
                <w:spacing w:val="-19"/>
              </w:rPr>
              <w:t xml:space="preserve"> </w:t>
            </w:r>
            <w:r>
              <w:rPr>
                <w:color w:val="0F1115"/>
                <w:spacing w:val="-6"/>
              </w:rPr>
              <w:t>14</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60BD1CE6" w14:textId="77777777" w:rsidR="00DF677B" w:rsidRDefault="009A4614">
            <w:pPr>
              <w:pStyle w:val="TableText"/>
              <w:spacing w:before="49"/>
              <w:jc w:val="center"/>
            </w:pPr>
            <w:r>
              <w:rPr>
                <w:color w:val="0F1115"/>
                <w:spacing w:val="-1"/>
              </w:rPr>
              <w:t>0.1051</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520A8170" w14:textId="77777777" w:rsidR="00DF677B" w:rsidRDefault="009A4614">
            <w:pPr>
              <w:pStyle w:val="TableText"/>
              <w:spacing w:before="49"/>
              <w:jc w:val="center"/>
            </w:pPr>
            <w:r>
              <w:rPr>
                <w:b/>
                <w:bCs/>
                <w:color w:val="0F1115"/>
                <w:spacing w:val="-1"/>
              </w:rPr>
              <w:t>~100%</w:t>
            </w:r>
          </w:p>
        </w:tc>
        <w:tc>
          <w:tcPr>
            <w:tcW w:w="2091" w:type="dxa"/>
            <w:tcBorders>
              <w:top w:val="single" w:sz="4" w:space="0" w:color="000000"/>
              <w:left w:val="nil"/>
              <w:bottom w:val="nil"/>
              <w:right w:val="nil"/>
            </w:tcBorders>
            <w:tcMar>
              <w:top w:w="-1" w:type="dxa"/>
              <w:left w:w="-1" w:type="dxa"/>
              <w:bottom w:w="-1" w:type="dxa"/>
              <w:right w:w="-1" w:type="dxa"/>
            </w:tcMar>
            <w:vAlign w:val="center"/>
          </w:tcPr>
          <w:p w14:paraId="6AB08198" w14:textId="77777777" w:rsidR="00DF677B" w:rsidRDefault="009A4614">
            <w:pPr>
              <w:pStyle w:val="TableText"/>
              <w:spacing w:before="118"/>
              <w:jc w:val="center"/>
              <w:rPr>
                <w:color w:val="0F1115"/>
              </w:rPr>
            </w:pPr>
            <w:r>
              <w:rPr>
                <w:color w:val="0F1115"/>
              </w:rPr>
              <w:t>Very high power. The detected</w:t>
            </w:r>
            <w:r>
              <w:rPr>
                <w:rFonts w:hint="eastAsia"/>
                <w:color w:val="0F1115"/>
              </w:rPr>
              <w:t xml:space="preserve"> </w:t>
            </w:r>
            <w:r>
              <w:rPr>
                <w:color w:val="0F1115"/>
              </w:rPr>
              <w:t>significant result (OR</w:t>
            </w:r>
            <w:r>
              <w:rPr>
                <w:rFonts w:hint="eastAsia"/>
                <w:color w:val="0F1115"/>
              </w:rPr>
              <w:t xml:space="preserve"> </w:t>
            </w:r>
            <w:r>
              <w:rPr>
                <w:color w:val="0F1115"/>
              </w:rPr>
              <w:t>= 1.08) is</w:t>
            </w:r>
            <w:r>
              <w:rPr>
                <w:rFonts w:hint="eastAsia"/>
                <w:color w:val="0F1115"/>
              </w:rPr>
              <w:t xml:space="preserve"> </w:t>
            </w:r>
            <w:r>
              <w:rPr>
                <w:color w:val="0F1115"/>
              </w:rPr>
              <w:t>highly reliable</w:t>
            </w:r>
          </w:p>
        </w:tc>
      </w:tr>
      <w:tr w:rsidR="00DF677B" w14:paraId="321B075A"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18A6BE5A" w14:textId="77777777" w:rsidR="00DF677B" w:rsidRDefault="009A4614">
            <w:pPr>
              <w:pStyle w:val="TableText"/>
              <w:spacing w:before="49"/>
              <w:jc w:val="center"/>
            </w:pPr>
            <w:r>
              <w:rPr>
                <w:b/>
                <w:bCs/>
                <w:color w:val="0F1115"/>
                <w:spacing w:val="-2"/>
              </w:rPr>
              <w:t>SLE</w:t>
            </w:r>
            <w:r>
              <w:rPr>
                <w:b/>
                <w:bCs/>
                <w:color w:val="0F1115"/>
                <w:spacing w:val="6"/>
              </w:rPr>
              <w:t xml:space="preserve"> </w:t>
            </w:r>
            <w:r>
              <w:rPr>
                <w:b/>
                <w:bCs/>
                <w:color w:val="0F1115"/>
                <w:spacing w:val="-2"/>
              </w:rPr>
              <w:t>→ ITP</w:t>
            </w:r>
          </w:p>
        </w:tc>
        <w:tc>
          <w:tcPr>
            <w:tcW w:w="0" w:type="auto"/>
            <w:tcBorders>
              <w:top w:val="nil"/>
              <w:left w:val="nil"/>
              <w:bottom w:val="nil"/>
              <w:right w:val="nil"/>
            </w:tcBorders>
            <w:tcMar>
              <w:top w:w="-1" w:type="dxa"/>
              <w:left w:w="-1" w:type="dxa"/>
              <w:bottom w:w="-1" w:type="dxa"/>
              <w:right w:w="-1" w:type="dxa"/>
            </w:tcMar>
            <w:vAlign w:val="center"/>
          </w:tcPr>
          <w:p w14:paraId="4FE12FA7" w14:textId="77777777" w:rsidR="00DF677B" w:rsidRDefault="009A4614">
            <w:pPr>
              <w:pStyle w:val="TableText"/>
              <w:spacing w:before="49"/>
              <w:jc w:val="center"/>
            </w:pPr>
            <w:r>
              <w:rPr>
                <w:color w:val="0F1115"/>
                <w:spacing w:val="-4"/>
              </w:rPr>
              <w:t>14,267</w:t>
            </w:r>
          </w:p>
        </w:tc>
        <w:tc>
          <w:tcPr>
            <w:tcW w:w="0" w:type="auto"/>
            <w:tcBorders>
              <w:top w:val="nil"/>
              <w:left w:val="nil"/>
              <w:bottom w:val="nil"/>
              <w:right w:val="nil"/>
            </w:tcBorders>
            <w:tcMar>
              <w:top w:w="-1" w:type="dxa"/>
              <w:left w:w="-1" w:type="dxa"/>
              <w:bottom w:w="-1" w:type="dxa"/>
              <w:right w:w="-1" w:type="dxa"/>
            </w:tcMar>
            <w:vAlign w:val="center"/>
          </w:tcPr>
          <w:p w14:paraId="0CEDF2E9" w14:textId="77777777" w:rsidR="00DF677B" w:rsidRDefault="009A4614">
            <w:pPr>
              <w:pStyle w:val="TableText"/>
              <w:spacing w:before="49"/>
              <w:jc w:val="center"/>
            </w:pPr>
            <w:r>
              <w:rPr>
                <w:color w:val="0F1115"/>
                <w:spacing w:val="-1"/>
              </w:rPr>
              <w:t>406,644</w:t>
            </w:r>
          </w:p>
        </w:tc>
        <w:tc>
          <w:tcPr>
            <w:tcW w:w="0" w:type="auto"/>
            <w:tcBorders>
              <w:top w:val="nil"/>
              <w:left w:val="nil"/>
              <w:bottom w:val="nil"/>
              <w:right w:val="nil"/>
            </w:tcBorders>
            <w:tcMar>
              <w:top w:w="-1" w:type="dxa"/>
              <w:left w:w="-1" w:type="dxa"/>
              <w:bottom w:w="-1" w:type="dxa"/>
              <w:right w:w="-1" w:type="dxa"/>
            </w:tcMar>
            <w:vAlign w:val="center"/>
          </w:tcPr>
          <w:p w14:paraId="1F8C94EF" w14:textId="77777777" w:rsidR="00DF677B" w:rsidRDefault="009A4614">
            <w:pPr>
              <w:pStyle w:val="TableText"/>
              <w:spacing w:before="49"/>
              <w:jc w:val="center"/>
            </w:pPr>
            <w:r>
              <w:rPr>
                <w:color w:val="0F1115"/>
                <w:spacing w:val="-2"/>
              </w:rPr>
              <w:t>23</w:t>
            </w:r>
          </w:p>
        </w:tc>
        <w:tc>
          <w:tcPr>
            <w:tcW w:w="0" w:type="auto"/>
            <w:tcBorders>
              <w:top w:val="nil"/>
              <w:left w:val="nil"/>
              <w:bottom w:val="nil"/>
              <w:right w:val="nil"/>
            </w:tcBorders>
            <w:tcMar>
              <w:top w:w="-1" w:type="dxa"/>
              <w:left w:w="-1" w:type="dxa"/>
              <w:bottom w:w="-1" w:type="dxa"/>
              <w:right w:w="-1" w:type="dxa"/>
            </w:tcMar>
            <w:vAlign w:val="center"/>
          </w:tcPr>
          <w:p w14:paraId="6F3A68D1" w14:textId="77777777" w:rsidR="00DF677B" w:rsidRDefault="009A4614">
            <w:pPr>
              <w:pStyle w:val="TableText"/>
              <w:spacing w:before="108"/>
              <w:jc w:val="center"/>
            </w:pPr>
            <w:r>
              <w:rPr>
                <w:color w:val="0F1115"/>
                <w:spacing w:val="-1"/>
              </w:rPr>
              <w:t>0.030</w:t>
            </w:r>
          </w:p>
          <w:p w14:paraId="2ED40B85" w14:textId="77777777" w:rsidR="00DF677B" w:rsidRDefault="009A4614">
            <w:pPr>
              <w:pStyle w:val="TableText"/>
              <w:spacing w:before="64"/>
              <w:jc w:val="center"/>
            </w:pPr>
            <w:r>
              <w:rPr>
                <w:color w:val="0F1115"/>
                <w:spacing w:val="-2"/>
              </w:rPr>
              <w:t>(Preset:</w:t>
            </w:r>
          </w:p>
          <w:p w14:paraId="17CAAEE2" w14:textId="77777777" w:rsidR="00DF677B" w:rsidRDefault="009A4614">
            <w:pPr>
              <w:pStyle w:val="TableText"/>
              <w:spacing w:before="64"/>
              <w:jc w:val="center"/>
            </w:pPr>
            <w:r>
              <w:rPr>
                <w:color w:val="0F1115"/>
                <w:spacing w:val="-1"/>
              </w:rPr>
              <w:t>0.0953*)</w:t>
            </w:r>
          </w:p>
        </w:tc>
        <w:tc>
          <w:tcPr>
            <w:tcW w:w="0" w:type="auto"/>
            <w:tcBorders>
              <w:top w:val="nil"/>
              <w:left w:val="nil"/>
              <w:bottom w:val="nil"/>
              <w:right w:val="nil"/>
            </w:tcBorders>
            <w:tcMar>
              <w:top w:w="-1" w:type="dxa"/>
              <w:left w:w="-1" w:type="dxa"/>
              <w:bottom w:w="-1" w:type="dxa"/>
              <w:right w:w="-1" w:type="dxa"/>
            </w:tcMar>
            <w:vAlign w:val="center"/>
          </w:tcPr>
          <w:p w14:paraId="55A3C51B" w14:textId="77777777" w:rsidR="00DF677B" w:rsidRDefault="009A4614">
            <w:pPr>
              <w:pStyle w:val="TableText"/>
              <w:spacing w:before="49"/>
              <w:jc w:val="center"/>
            </w:pPr>
            <w:r>
              <w:rPr>
                <w:color w:val="0F1115"/>
                <w:spacing w:val="-6"/>
              </w:rPr>
              <w:t>71.</w:t>
            </w:r>
            <w:r>
              <w:rPr>
                <w:color w:val="0F1115"/>
                <w:spacing w:val="-19"/>
              </w:rPr>
              <w:t xml:space="preserve"> </w:t>
            </w:r>
            <w:r>
              <w:rPr>
                <w:color w:val="0F1115"/>
                <w:spacing w:val="-6"/>
              </w:rPr>
              <w:t>14</w:t>
            </w:r>
          </w:p>
        </w:tc>
        <w:tc>
          <w:tcPr>
            <w:tcW w:w="0" w:type="auto"/>
            <w:tcBorders>
              <w:top w:val="nil"/>
              <w:left w:val="nil"/>
              <w:bottom w:val="nil"/>
              <w:right w:val="nil"/>
            </w:tcBorders>
            <w:tcMar>
              <w:top w:w="-1" w:type="dxa"/>
              <w:left w:w="-1" w:type="dxa"/>
              <w:bottom w:w="-1" w:type="dxa"/>
              <w:right w:w="-1" w:type="dxa"/>
            </w:tcMar>
            <w:vAlign w:val="center"/>
          </w:tcPr>
          <w:p w14:paraId="06CD6EB6" w14:textId="77777777" w:rsidR="00DF677B" w:rsidRDefault="009A4614">
            <w:pPr>
              <w:pStyle w:val="TableText"/>
              <w:spacing w:before="49"/>
              <w:jc w:val="center"/>
            </w:pPr>
            <w:r>
              <w:rPr>
                <w:color w:val="0F1115"/>
                <w:spacing w:val="-1"/>
              </w:rPr>
              <w:t>0.0820</w:t>
            </w:r>
          </w:p>
        </w:tc>
        <w:tc>
          <w:tcPr>
            <w:tcW w:w="0" w:type="auto"/>
            <w:tcBorders>
              <w:top w:val="nil"/>
              <w:left w:val="nil"/>
              <w:bottom w:val="nil"/>
              <w:right w:val="nil"/>
            </w:tcBorders>
            <w:tcMar>
              <w:top w:w="-1" w:type="dxa"/>
              <w:left w:w="-1" w:type="dxa"/>
              <w:bottom w:w="-1" w:type="dxa"/>
              <w:right w:w="-1" w:type="dxa"/>
            </w:tcMar>
            <w:vAlign w:val="center"/>
          </w:tcPr>
          <w:p w14:paraId="121CDDB0" w14:textId="77777777" w:rsidR="00DF677B" w:rsidRDefault="009A4614">
            <w:pPr>
              <w:pStyle w:val="TableText"/>
              <w:spacing w:before="49"/>
              <w:jc w:val="center"/>
            </w:pPr>
            <w:r>
              <w:rPr>
                <w:b/>
                <w:bCs/>
                <w:color w:val="0F1115"/>
                <w:spacing w:val="-1"/>
              </w:rPr>
              <w:t>~100%</w:t>
            </w:r>
          </w:p>
        </w:tc>
        <w:tc>
          <w:tcPr>
            <w:tcW w:w="2091" w:type="dxa"/>
            <w:tcBorders>
              <w:top w:val="nil"/>
              <w:left w:val="nil"/>
              <w:bottom w:val="nil"/>
              <w:right w:val="nil"/>
            </w:tcBorders>
            <w:tcMar>
              <w:top w:w="-1" w:type="dxa"/>
              <w:left w:w="-1" w:type="dxa"/>
              <w:bottom w:w="-1" w:type="dxa"/>
              <w:right w:w="-1" w:type="dxa"/>
            </w:tcMar>
            <w:vAlign w:val="center"/>
          </w:tcPr>
          <w:p w14:paraId="78716ACC" w14:textId="77777777" w:rsidR="00DF677B" w:rsidRDefault="009A4614">
            <w:pPr>
              <w:pStyle w:val="TableText"/>
              <w:spacing w:before="106"/>
              <w:jc w:val="center"/>
              <w:rPr>
                <w:color w:val="0F1115"/>
              </w:rPr>
            </w:pPr>
            <w:r>
              <w:rPr>
                <w:color w:val="0F1115"/>
              </w:rPr>
              <w:t>Very high power. The null finding strongly rules out moderate or larger effects</w:t>
            </w:r>
          </w:p>
        </w:tc>
      </w:tr>
      <w:tr w:rsidR="00DF677B" w14:paraId="187F1C5C"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51F5C942" w14:textId="77777777" w:rsidR="00DF677B" w:rsidRDefault="009A4614">
            <w:pPr>
              <w:pStyle w:val="TableText"/>
              <w:spacing w:before="49"/>
              <w:jc w:val="center"/>
            </w:pPr>
            <w:r>
              <w:rPr>
                <w:b/>
                <w:bCs/>
                <w:color w:val="0F1115"/>
                <w:spacing w:val="-3"/>
              </w:rPr>
              <w:t>SLE</w:t>
            </w:r>
            <w:r>
              <w:rPr>
                <w:b/>
                <w:bCs/>
                <w:color w:val="0F1115"/>
                <w:spacing w:val="13"/>
                <w:w w:val="101"/>
              </w:rPr>
              <w:t xml:space="preserve"> </w:t>
            </w:r>
            <w:r>
              <w:rPr>
                <w:b/>
                <w:bCs/>
                <w:color w:val="0F1115"/>
                <w:spacing w:val="-3"/>
              </w:rPr>
              <w:t>→ AGC</w:t>
            </w:r>
          </w:p>
        </w:tc>
        <w:tc>
          <w:tcPr>
            <w:tcW w:w="0" w:type="auto"/>
            <w:tcBorders>
              <w:top w:val="nil"/>
              <w:left w:val="nil"/>
              <w:bottom w:val="nil"/>
              <w:right w:val="nil"/>
            </w:tcBorders>
            <w:tcMar>
              <w:top w:w="-1" w:type="dxa"/>
              <w:left w:w="-1" w:type="dxa"/>
              <w:bottom w:w="-1" w:type="dxa"/>
              <w:right w:w="-1" w:type="dxa"/>
            </w:tcMar>
            <w:vAlign w:val="center"/>
          </w:tcPr>
          <w:p w14:paraId="5D36C057" w14:textId="77777777" w:rsidR="00DF677B" w:rsidRDefault="009A4614">
            <w:pPr>
              <w:pStyle w:val="TableText"/>
              <w:spacing w:before="49"/>
              <w:jc w:val="center"/>
            </w:pPr>
            <w:r>
              <w:rPr>
                <w:color w:val="0F1115"/>
                <w:spacing w:val="-4"/>
              </w:rPr>
              <w:t>14,267</w:t>
            </w:r>
          </w:p>
        </w:tc>
        <w:tc>
          <w:tcPr>
            <w:tcW w:w="0" w:type="auto"/>
            <w:tcBorders>
              <w:top w:val="nil"/>
              <w:left w:val="nil"/>
              <w:bottom w:val="nil"/>
              <w:right w:val="nil"/>
            </w:tcBorders>
            <w:tcMar>
              <w:top w:w="-1" w:type="dxa"/>
              <w:left w:w="-1" w:type="dxa"/>
              <w:bottom w:w="-1" w:type="dxa"/>
              <w:right w:w="-1" w:type="dxa"/>
            </w:tcMar>
            <w:vAlign w:val="center"/>
          </w:tcPr>
          <w:p w14:paraId="187DC1DE" w14:textId="77777777" w:rsidR="00DF677B" w:rsidRDefault="009A4614">
            <w:pPr>
              <w:pStyle w:val="TableText"/>
              <w:spacing w:before="49"/>
              <w:jc w:val="center"/>
            </w:pPr>
            <w:r>
              <w:rPr>
                <w:color w:val="0F1115"/>
                <w:spacing w:val="-1"/>
              </w:rPr>
              <w:t>408,201</w:t>
            </w:r>
          </w:p>
        </w:tc>
        <w:tc>
          <w:tcPr>
            <w:tcW w:w="0" w:type="auto"/>
            <w:tcBorders>
              <w:top w:val="nil"/>
              <w:left w:val="nil"/>
              <w:bottom w:val="nil"/>
              <w:right w:val="nil"/>
            </w:tcBorders>
            <w:tcMar>
              <w:top w:w="-1" w:type="dxa"/>
              <w:left w:w="-1" w:type="dxa"/>
              <w:bottom w:w="-1" w:type="dxa"/>
              <w:right w:w="-1" w:type="dxa"/>
            </w:tcMar>
            <w:vAlign w:val="center"/>
          </w:tcPr>
          <w:p w14:paraId="2B832995" w14:textId="77777777" w:rsidR="00DF677B" w:rsidRDefault="009A4614">
            <w:pPr>
              <w:pStyle w:val="TableText"/>
              <w:spacing w:before="49"/>
              <w:jc w:val="center"/>
            </w:pPr>
            <w:r>
              <w:rPr>
                <w:color w:val="0F1115"/>
                <w:spacing w:val="-2"/>
              </w:rPr>
              <w:t>22</w:t>
            </w:r>
          </w:p>
        </w:tc>
        <w:tc>
          <w:tcPr>
            <w:tcW w:w="0" w:type="auto"/>
            <w:tcBorders>
              <w:top w:val="nil"/>
              <w:left w:val="nil"/>
              <w:bottom w:val="nil"/>
              <w:right w:val="nil"/>
            </w:tcBorders>
            <w:tcMar>
              <w:top w:w="-1" w:type="dxa"/>
              <w:left w:w="-1" w:type="dxa"/>
              <w:bottom w:w="-1" w:type="dxa"/>
              <w:right w:w="-1" w:type="dxa"/>
            </w:tcMar>
            <w:vAlign w:val="center"/>
          </w:tcPr>
          <w:p w14:paraId="61DEFAFD" w14:textId="77777777" w:rsidR="00DF677B" w:rsidRDefault="009A4614">
            <w:pPr>
              <w:pStyle w:val="TableText"/>
              <w:spacing w:before="109"/>
              <w:jc w:val="center"/>
            </w:pPr>
            <w:r>
              <w:rPr>
                <w:color w:val="0F1115"/>
                <w:spacing w:val="-1"/>
              </w:rPr>
              <w:t>0.012</w:t>
            </w:r>
          </w:p>
          <w:p w14:paraId="424FAF26" w14:textId="77777777" w:rsidR="00DF677B" w:rsidRDefault="009A4614">
            <w:pPr>
              <w:pStyle w:val="TableText"/>
              <w:spacing w:before="62"/>
              <w:jc w:val="center"/>
            </w:pPr>
            <w:r>
              <w:rPr>
                <w:color w:val="0F1115"/>
                <w:spacing w:val="-2"/>
              </w:rPr>
              <w:t>(Preset:</w:t>
            </w:r>
          </w:p>
          <w:p w14:paraId="05FF2C96" w14:textId="77777777" w:rsidR="00DF677B" w:rsidRDefault="009A4614">
            <w:pPr>
              <w:pStyle w:val="TableText"/>
              <w:spacing w:before="64"/>
              <w:jc w:val="center"/>
            </w:pPr>
            <w:r>
              <w:rPr>
                <w:color w:val="0F1115"/>
                <w:spacing w:val="-1"/>
              </w:rPr>
              <w:t>0.0953*)</w:t>
            </w:r>
          </w:p>
        </w:tc>
        <w:tc>
          <w:tcPr>
            <w:tcW w:w="0" w:type="auto"/>
            <w:tcBorders>
              <w:top w:val="nil"/>
              <w:left w:val="nil"/>
              <w:bottom w:val="nil"/>
              <w:right w:val="nil"/>
            </w:tcBorders>
            <w:tcMar>
              <w:top w:w="-1" w:type="dxa"/>
              <w:left w:w="-1" w:type="dxa"/>
              <w:bottom w:w="-1" w:type="dxa"/>
              <w:right w:w="-1" w:type="dxa"/>
            </w:tcMar>
            <w:vAlign w:val="center"/>
          </w:tcPr>
          <w:p w14:paraId="295E198F" w14:textId="77777777" w:rsidR="00DF677B" w:rsidRDefault="009A4614">
            <w:pPr>
              <w:pStyle w:val="TableText"/>
              <w:spacing w:before="49"/>
              <w:jc w:val="center"/>
            </w:pPr>
            <w:r>
              <w:rPr>
                <w:color w:val="0F1115"/>
                <w:spacing w:val="-6"/>
              </w:rPr>
              <w:t>71.</w:t>
            </w:r>
            <w:r>
              <w:rPr>
                <w:color w:val="0F1115"/>
                <w:spacing w:val="-19"/>
              </w:rPr>
              <w:t xml:space="preserve"> </w:t>
            </w:r>
            <w:r>
              <w:rPr>
                <w:color w:val="0F1115"/>
                <w:spacing w:val="-6"/>
              </w:rPr>
              <w:t>14</w:t>
            </w:r>
          </w:p>
        </w:tc>
        <w:tc>
          <w:tcPr>
            <w:tcW w:w="0" w:type="auto"/>
            <w:tcBorders>
              <w:top w:val="nil"/>
              <w:left w:val="nil"/>
              <w:bottom w:val="nil"/>
              <w:right w:val="nil"/>
            </w:tcBorders>
            <w:tcMar>
              <w:top w:w="-1" w:type="dxa"/>
              <w:left w:w="-1" w:type="dxa"/>
              <w:bottom w:w="-1" w:type="dxa"/>
              <w:right w:w="-1" w:type="dxa"/>
            </w:tcMar>
            <w:vAlign w:val="center"/>
          </w:tcPr>
          <w:p w14:paraId="1A075D17" w14:textId="77777777" w:rsidR="00DF677B" w:rsidRDefault="009A4614">
            <w:pPr>
              <w:pStyle w:val="TableText"/>
              <w:spacing w:before="49"/>
              <w:jc w:val="center"/>
            </w:pPr>
            <w:r>
              <w:rPr>
                <w:color w:val="0F1115"/>
                <w:spacing w:val="-1"/>
              </w:rPr>
              <w:t>0.0805</w:t>
            </w:r>
          </w:p>
        </w:tc>
        <w:tc>
          <w:tcPr>
            <w:tcW w:w="0" w:type="auto"/>
            <w:tcBorders>
              <w:top w:val="nil"/>
              <w:left w:val="nil"/>
              <w:bottom w:val="nil"/>
              <w:right w:val="nil"/>
            </w:tcBorders>
            <w:tcMar>
              <w:top w:w="-1" w:type="dxa"/>
              <w:left w:w="-1" w:type="dxa"/>
              <w:bottom w:w="-1" w:type="dxa"/>
              <w:right w:w="-1" w:type="dxa"/>
            </w:tcMar>
            <w:vAlign w:val="center"/>
          </w:tcPr>
          <w:p w14:paraId="278B028A" w14:textId="77777777" w:rsidR="00DF677B" w:rsidRDefault="009A4614">
            <w:pPr>
              <w:pStyle w:val="TableText"/>
              <w:spacing w:before="48"/>
              <w:jc w:val="center"/>
            </w:pPr>
            <w:r>
              <w:rPr>
                <w:b/>
                <w:bCs/>
                <w:color w:val="0F1115"/>
                <w:spacing w:val="-1"/>
              </w:rPr>
              <w:t>~100%</w:t>
            </w:r>
          </w:p>
        </w:tc>
        <w:tc>
          <w:tcPr>
            <w:tcW w:w="2091" w:type="dxa"/>
            <w:tcBorders>
              <w:top w:val="nil"/>
              <w:left w:val="nil"/>
              <w:bottom w:val="nil"/>
              <w:right w:val="nil"/>
            </w:tcBorders>
            <w:tcMar>
              <w:top w:w="-1" w:type="dxa"/>
              <w:left w:w="-1" w:type="dxa"/>
              <w:bottom w:w="-1" w:type="dxa"/>
              <w:right w:w="-1" w:type="dxa"/>
            </w:tcMar>
            <w:vAlign w:val="center"/>
          </w:tcPr>
          <w:p w14:paraId="1AED310A" w14:textId="77777777" w:rsidR="00DF677B" w:rsidRDefault="009A4614">
            <w:pPr>
              <w:pStyle w:val="TableText"/>
              <w:spacing w:before="106"/>
              <w:jc w:val="center"/>
              <w:rPr>
                <w:color w:val="0F1115"/>
              </w:rPr>
            </w:pPr>
            <w:r>
              <w:rPr>
                <w:color w:val="0F1115"/>
              </w:rPr>
              <w:t>Very high power. The null finding strongly rules out moderate or larger effects</w:t>
            </w:r>
          </w:p>
        </w:tc>
      </w:tr>
      <w:tr w:rsidR="00DF677B" w14:paraId="682D47C5"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5F6FB316" w14:textId="77777777" w:rsidR="00DF677B" w:rsidRDefault="009A4614">
            <w:pPr>
              <w:pStyle w:val="TableText"/>
              <w:spacing w:before="49"/>
              <w:jc w:val="center"/>
            </w:pPr>
            <w:r>
              <w:rPr>
                <w:b/>
                <w:bCs/>
                <w:color w:val="0F1115"/>
                <w:spacing w:val="-3"/>
              </w:rPr>
              <w:t>SLE</w:t>
            </w:r>
            <w:r>
              <w:rPr>
                <w:b/>
                <w:bCs/>
                <w:color w:val="0F1115"/>
                <w:spacing w:val="14"/>
              </w:rPr>
              <w:t xml:space="preserve"> </w:t>
            </w:r>
            <w:r>
              <w:rPr>
                <w:b/>
                <w:bCs/>
                <w:color w:val="0F1115"/>
                <w:spacing w:val="-3"/>
              </w:rPr>
              <w:t>→ MDS</w:t>
            </w:r>
          </w:p>
        </w:tc>
        <w:tc>
          <w:tcPr>
            <w:tcW w:w="0" w:type="auto"/>
            <w:tcBorders>
              <w:top w:val="nil"/>
              <w:left w:val="nil"/>
              <w:bottom w:val="nil"/>
              <w:right w:val="nil"/>
            </w:tcBorders>
            <w:tcMar>
              <w:top w:w="-1" w:type="dxa"/>
              <w:left w:w="-1" w:type="dxa"/>
              <w:bottom w:w="-1" w:type="dxa"/>
              <w:right w:w="-1" w:type="dxa"/>
            </w:tcMar>
            <w:vAlign w:val="center"/>
          </w:tcPr>
          <w:p w14:paraId="5B363FA3" w14:textId="77777777" w:rsidR="00DF677B" w:rsidRDefault="009A4614">
            <w:pPr>
              <w:pStyle w:val="TableText"/>
              <w:spacing w:before="49"/>
              <w:jc w:val="center"/>
            </w:pPr>
            <w:r>
              <w:rPr>
                <w:color w:val="0F1115"/>
                <w:spacing w:val="-4"/>
              </w:rPr>
              <w:t>14,267</w:t>
            </w:r>
          </w:p>
        </w:tc>
        <w:tc>
          <w:tcPr>
            <w:tcW w:w="0" w:type="auto"/>
            <w:tcBorders>
              <w:top w:val="nil"/>
              <w:left w:val="nil"/>
              <w:bottom w:val="nil"/>
              <w:right w:val="nil"/>
            </w:tcBorders>
            <w:tcMar>
              <w:top w:w="-1" w:type="dxa"/>
              <w:left w:w="-1" w:type="dxa"/>
              <w:bottom w:w="-1" w:type="dxa"/>
              <w:right w:w="-1" w:type="dxa"/>
            </w:tcMar>
            <w:vAlign w:val="center"/>
          </w:tcPr>
          <w:p w14:paraId="4B343897" w14:textId="77777777" w:rsidR="00DF677B" w:rsidRDefault="009A4614">
            <w:pPr>
              <w:pStyle w:val="TableText"/>
              <w:spacing w:before="49"/>
              <w:jc w:val="center"/>
            </w:pPr>
            <w:r>
              <w:rPr>
                <w:color w:val="0F1115"/>
                <w:spacing w:val="-1"/>
              </w:rPr>
              <w:t>314,302</w:t>
            </w:r>
          </w:p>
        </w:tc>
        <w:tc>
          <w:tcPr>
            <w:tcW w:w="0" w:type="auto"/>
            <w:tcBorders>
              <w:top w:val="nil"/>
              <w:left w:val="nil"/>
              <w:bottom w:val="nil"/>
              <w:right w:val="nil"/>
            </w:tcBorders>
            <w:tcMar>
              <w:top w:w="-1" w:type="dxa"/>
              <w:left w:w="-1" w:type="dxa"/>
              <w:bottom w:w="-1" w:type="dxa"/>
              <w:right w:w="-1" w:type="dxa"/>
            </w:tcMar>
            <w:vAlign w:val="center"/>
          </w:tcPr>
          <w:p w14:paraId="2D6BD3AC" w14:textId="77777777" w:rsidR="00DF677B" w:rsidRDefault="009A4614">
            <w:pPr>
              <w:pStyle w:val="TableText"/>
              <w:spacing w:before="49"/>
              <w:jc w:val="center"/>
            </w:pPr>
            <w:r>
              <w:rPr>
                <w:color w:val="0F1115"/>
                <w:spacing w:val="-2"/>
              </w:rPr>
              <w:t>25</w:t>
            </w:r>
          </w:p>
        </w:tc>
        <w:tc>
          <w:tcPr>
            <w:tcW w:w="0" w:type="auto"/>
            <w:tcBorders>
              <w:top w:val="nil"/>
              <w:left w:val="nil"/>
              <w:bottom w:val="nil"/>
              <w:right w:val="nil"/>
            </w:tcBorders>
            <w:tcMar>
              <w:top w:w="-1" w:type="dxa"/>
              <w:left w:w="-1" w:type="dxa"/>
              <w:bottom w:w="-1" w:type="dxa"/>
              <w:right w:w="-1" w:type="dxa"/>
            </w:tcMar>
            <w:vAlign w:val="center"/>
          </w:tcPr>
          <w:p w14:paraId="1CA426A8" w14:textId="77777777" w:rsidR="00DF677B" w:rsidRDefault="009A4614">
            <w:pPr>
              <w:pStyle w:val="TableText"/>
              <w:spacing w:before="49"/>
              <w:jc w:val="center"/>
            </w:pPr>
            <w:r>
              <w:rPr>
                <w:color w:val="0F1115"/>
                <w:spacing w:val="-1"/>
              </w:rPr>
              <w:t>0.170</w:t>
            </w:r>
          </w:p>
        </w:tc>
        <w:tc>
          <w:tcPr>
            <w:tcW w:w="0" w:type="auto"/>
            <w:tcBorders>
              <w:top w:val="nil"/>
              <w:left w:val="nil"/>
              <w:bottom w:val="nil"/>
              <w:right w:val="nil"/>
            </w:tcBorders>
            <w:tcMar>
              <w:top w:w="-1" w:type="dxa"/>
              <w:left w:w="-1" w:type="dxa"/>
              <w:bottom w:w="-1" w:type="dxa"/>
              <w:right w:w="-1" w:type="dxa"/>
            </w:tcMar>
            <w:vAlign w:val="center"/>
          </w:tcPr>
          <w:p w14:paraId="606BC535" w14:textId="77777777" w:rsidR="00DF677B" w:rsidRDefault="009A4614">
            <w:pPr>
              <w:pStyle w:val="TableText"/>
              <w:spacing w:before="49"/>
              <w:jc w:val="center"/>
            </w:pPr>
            <w:r>
              <w:rPr>
                <w:color w:val="0F1115"/>
                <w:spacing w:val="-6"/>
              </w:rPr>
              <w:t>71.</w:t>
            </w:r>
            <w:r>
              <w:rPr>
                <w:color w:val="0F1115"/>
                <w:spacing w:val="-19"/>
              </w:rPr>
              <w:t xml:space="preserve"> </w:t>
            </w:r>
            <w:r>
              <w:rPr>
                <w:color w:val="0F1115"/>
                <w:spacing w:val="-6"/>
              </w:rPr>
              <w:t>14</w:t>
            </w:r>
          </w:p>
        </w:tc>
        <w:tc>
          <w:tcPr>
            <w:tcW w:w="0" w:type="auto"/>
            <w:tcBorders>
              <w:top w:val="nil"/>
              <w:left w:val="nil"/>
              <w:bottom w:val="nil"/>
              <w:right w:val="nil"/>
            </w:tcBorders>
            <w:tcMar>
              <w:top w:w="-1" w:type="dxa"/>
              <w:left w:w="-1" w:type="dxa"/>
              <w:bottom w:w="-1" w:type="dxa"/>
              <w:right w:w="-1" w:type="dxa"/>
            </w:tcMar>
            <w:vAlign w:val="center"/>
          </w:tcPr>
          <w:p w14:paraId="21797BB7" w14:textId="77777777" w:rsidR="00DF677B" w:rsidRDefault="009A4614">
            <w:pPr>
              <w:pStyle w:val="TableText"/>
              <w:spacing w:before="49"/>
              <w:jc w:val="center"/>
            </w:pPr>
            <w:r>
              <w:rPr>
                <w:color w:val="0F1115"/>
                <w:spacing w:val="-1"/>
              </w:rPr>
              <w:t>0.1156</w:t>
            </w:r>
          </w:p>
        </w:tc>
        <w:tc>
          <w:tcPr>
            <w:tcW w:w="0" w:type="auto"/>
            <w:tcBorders>
              <w:top w:val="nil"/>
              <w:left w:val="nil"/>
              <w:bottom w:val="nil"/>
              <w:right w:val="nil"/>
            </w:tcBorders>
            <w:tcMar>
              <w:top w:w="-1" w:type="dxa"/>
              <w:left w:w="-1" w:type="dxa"/>
              <w:bottom w:w="-1" w:type="dxa"/>
              <w:right w:w="-1" w:type="dxa"/>
            </w:tcMar>
            <w:vAlign w:val="center"/>
          </w:tcPr>
          <w:p w14:paraId="4C8BDFD1" w14:textId="77777777" w:rsidR="00DF677B" w:rsidRDefault="009A4614">
            <w:pPr>
              <w:pStyle w:val="TableText"/>
              <w:spacing w:before="49"/>
              <w:jc w:val="center"/>
            </w:pPr>
            <w:r>
              <w:rPr>
                <w:b/>
                <w:bCs/>
                <w:color w:val="0F1115"/>
                <w:spacing w:val="-1"/>
              </w:rPr>
              <w:t>~100%</w:t>
            </w:r>
          </w:p>
        </w:tc>
        <w:tc>
          <w:tcPr>
            <w:tcW w:w="2091" w:type="dxa"/>
            <w:tcBorders>
              <w:top w:val="nil"/>
              <w:left w:val="nil"/>
              <w:bottom w:val="nil"/>
              <w:right w:val="nil"/>
            </w:tcBorders>
            <w:tcMar>
              <w:top w:w="-1" w:type="dxa"/>
              <w:left w:w="-1" w:type="dxa"/>
              <w:bottom w:w="-1" w:type="dxa"/>
              <w:right w:w="-1" w:type="dxa"/>
            </w:tcMar>
            <w:vAlign w:val="center"/>
          </w:tcPr>
          <w:p w14:paraId="033A21BF" w14:textId="77777777" w:rsidR="00DF677B" w:rsidRDefault="009A4614">
            <w:pPr>
              <w:pStyle w:val="TableText"/>
              <w:spacing w:before="108"/>
              <w:jc w:val="center"/>
              <w:rPr>
                <w:color w:val="0F1115"/>
              </w:rPr>
            </w:pPr>
            <w:r>
              <w:rPr>
                <w:color w:val="0F1115"/>
              </w:rPr>
              <w:t>Very high power. The IVW</w:t>
            </w:r>
            <w:r>
              <w:rPr>
                <w:rFonts w:hint="eastAsia"/>
                <w:color w:val="0F1115"/>
              </w:rPr>
              <w:t xml:space="preserve"> </w:t>
            </w:r>
            <w:r>
              <w:rPr>
                <w:color w:val="0F1115"/>
              </w:rPr>
              <w:t>borderline significance</w:t>
            </w:r>
            <w:r>
              <w:rPr>
                <w:rFonts w:hint="eastAsia"/>
                <w:color w:val="0F1115"/>
              </w:rPr>
              <w:t xml:space="preserve"> </w:t>
            </w:r>
            <w:r>
              <w:rPr>
                <w:color w:val="0F1115"/>
              </w:rPr>
              <w:t>(</w:t>
            </w:r>
            <w:r>
              <w:rPr>
                <w:i/>
                <w:iCs/>
                <w:color w:val="0F1115"/>
              </w:rPr>
              <w:t>P</w:t>
            </w:r>
            <w:r>
              <w:rPr>
                <w:rFonts w:hint="eastAsia"/>
                <w:color w:val="0F1115"/>
              </w:rPr>
              <w:t xml:space="preserve"> </w:t>
            </w:r>
            <w:r>
              <w:rPr>
                <w:color w:val="0F1115"/>
              </w:rPr>
              <w:t>=</w:t>
            </w:r>
            <w:r>
              <w:rPr>
                <w:rFonts w:hint="eastAsia"/>
                <w:color w:val="0F1115"/>
              </w:rPr>
              <w:t xml:space="preserve"> </w:t>
            </w:r>
            <w:r>
              <w:rPr>
                <w:color w:val="0F1115"/>
              </w:rPr>
              <w:t>0.056) is not due to low</w:t>
            </w:r>
            <w:r>
              <w:rPr>
                <w:rFonts w:hint="eastAsia"/>
                <w:color w:val="0F1115"/>
              </w:rPr>
              <w:t xml:space="preserve"> </w:t>
            </w:r>
            <w:r>
              <w:rPr>
                <w:color w:val="0F1115"/>
              </w:rPr>
              <w:t>power</w:t>
            </w:r>
          </w:p>
        </w:tc>
      </w:tr>
      <w:tr w:rsidR="00DF677B" w14:paraId="6359B1FA"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C2730EE" w14:textId="77777777" w:rsidR="00DF677B" w:rsidRDefault="009A4614">
            <w:pPr>
              <w:pStyle w:val="TableText"/>
              <w:spacing w:before="49"/>
              <w:jc w:val="center"/>
            </w:pPr>
            <w:r>
              <w:rPr>
                <w:b/>
                <w:bCs/>
                <w:color w:val="0F1115"/>
                <w:spacing w:val="-2"/>
              </w:rPr>
              <w:t>SLE</w:t>
            </w:r>
            <w:r>
              <w:rPr>
                <w:b/>
                <w:bCs/>
                <w:color w:val="0F1115"/>
                <w:spacing w:val="7"/>
              </w:rPr>
              <w:t xml:space="preserve"> </w:t>
            </w:r>
            <w:r>
              <w:rPr>
                <w:b/>
                <w:bCs/>
                <w:color w:val="0F1115"/>
                <w:spacing w:val="-2"/>
              </w:rPr>
              <w:t>→ IDA</w:t>
            </w:r>
          </w:p>
        </w:tc>
        <w:tc>
          <w:tcPr>
            <w:tcW w:w="0" w:type="auto"/>
            <w:tcBorders>
              <w:top w:val="nil"/>
              <w:left w:val="nil"/>
              <w:bottom w:val="nil"/>
              <w:right w:val="nil"/>
            </w:tcBorders>
            <w:tcMar>
              <w:top w:w="-1" w:type="dxa"/>
              <w:left w:w="-1" w:type="dxa"/>
              <w:bottom w:w="-1" w:type="dxa"/>
              <w:right w:w="-1" w:type="dxa"/>
            </w:tcMar>
            <w:vAlign w:val="center"/>
          </w:tcPr>
          <w:p w14:paraId="768CD534" w14:textId="77777777" w:rsidR="00DF677B" w:rsidRDefault="009A4614">
            <w:pPr>
              <w:pStyle w:val="TableText"/>
              <w:spacing w:before="49"/>
              <w:jc w:val="center"/>
            </w:pPr>
            <w:r>
              <w:rPr>
                <w:color w:val="0F1115"/>
                <w:spacing w:val="-4"/>
              </w:rPr>
              <w:t>14,267</w:t>
            </w:r>
          </w:p>
        </w:tc>
        <w:tc>
          <w:tcPr>
            <w:tcW w:w="0" w:type="auto"/>
            <w:tcBorders>
              <w:top w:val="nil"/>
              <w:left w:val="nil"/>
              <w:bottom w:val="nil"/>
              <w:right w:val="nil"/>
            </w:tcBorders>
            <w:tcMar>
              <w:top w:w="-1" w:type="dxa"/>
              <w:left w:w="-1" w:type="dxa"/>
              <w:bottom w:w="-1" w:type="dxa"/>
              <w:right w:w="-1" w:type="dxa"/>
            </w:tcMar>
            <w:vAlign w:val="center"/>
          </w:tcPr>
          <w:p w14:paraId="13DC1551" w14:textId="77777777" w:rsidR="00DF677B" w:rsidRDefault="009A4614">
            <w:pPr>
              <w:pStyle w:val="TableText"/>
              <w:spacing w:before="49"/>
              <w:jc w:val="center"/>
            </w:pPr>
            <w:r>
              <w:rPr>
                <w:color w:val="0F1115"/>
                <w:spacing w:val="-1"/>
              </w:rPr>
              <w:t>408,837</w:t>
            </w:r>
          </w:p>
        </w:tc>
        <w:tc>
          <w:tcPr>
            <w:tcW w:w="0" w:type="auto"/>
            <w:tcBorders>
              <w:top w:val="nil"/>
              <w:left w:val="nil"/>
              <w:bottom w:val="nil"/>
              <w:right w:val="nil"/>
            </w:tcBorders>
            <w:tcMar>
              <w:top w:w="-1" w:type="dxa"/>
              <w:left w:w="-1" w:type="dxa"/>
              <w:bottom w:w="-1" w:type="dxa"/>
              <w:right w:w="-1" w:type="dxa"/>
            </w:tcMar>
            <w:vAlign w:val="center"/>
          </w:tcPr>
          <w:p w14:paraId="7D2A8DC7" w14:textId="77777777" w:rsidR="00DF677B" w:rsidRDefault="009A4614">
            <w:pPr>
              <w:pStyle w:val="TableText"/>
              <w:spacing w:before="48"/>
              <w:jc w:val="center"/>
            </w:pPr>
            <w:r>
              <w:rPr>
                <w:color w:val="0F1115"/>
                <w:spacing w:val="-2"/>
              </w:rPr>
              <w:t>24</w:t>
            </w:r>
          </w:p>
        </w:tc>
        <w:tc>
          <w:tcPr>
            <w:tcW w:w="0" w:type="auto"/>
            <w:tcBorders>
              <w:top w:val="nil"/>
              <w:left w:val="nil"/>
              <w:bottom w:val="nil"/>
              <w:right w:val="nil"/>
            </w:tcBorders>
            <w:tcMar>
              <w:top w:w="-1" w:type="dxa"/>
              <w:left w:w="-1" w:type="dxa"/>
              <w:bottom w:w="-1" w:type="dxa"/>
              <w:right w:w="-1" w:type="dxa"/>
            </w:tcMar>
            <w:vAlign w:val="center"/>
          </w:tcPr>
          <w:p w14:paraId="648E04D3" w14:textId="77777777" w:rsidR="00DF677B" w:rsidRDefault="009A4614">
            <w:pPr>
              <w:pStyle w:val="TableText"/>
              <w:spacing w:before="112"/>
              <w:jc w:val="center"/>
            </w:pPr>
            <w:r>
              <w:rPr>
                <w:color w:val="0F1115"/>
                <w:spacing w:val="-1"/>
              </w:rPr>
              <w:t>0.004</w:t>
            </w:r>
          </w:p>
          <w:p w14:paraId="375C0478" w14:textId="77777777" w:rsidR="00DF677B" w:rsidRDefault="009A4614">
            <w:pPr>
              <w:pStyle w:val="TableText"/>
              <w:spacing w:before="64"/>
              <w:jc w:val="center"/>
            </w:pPr>
            <w:r>
              <w:rPr>
                <w:color w:val="0F1115"/>
                <w:spacing w:val="-2"/>
              </w:rPr>
              <w:t>(Preset:</w:t>
            </w:r>
          </w:p>
          <w:p w14:paraId="6024460F" w14:textId="77777777" w:rsidR="00DF677B" w:rsidRDefault="009A4614">
            <w:pPr>
              <w:pStyle w:val="TableText"/>
              <w:spacing w:before="64"/>
              <w:jc w:val="center"/>
            </w:pPr>
            <w:r>
              <w:rPr>
                <w:color w:val="0F1115"/>
                <w:spacing w:val="-1"/>
              </w:rPr>
              <w:t>0.0953*)</w:t>
            </w:r>
          </w:p>
        </w:tc>
        <w:tc>
          <w:tcPr>
            <w:tcW w:w="0" w:type="auto"/>
            <w:tcBorders>
              <w:top w:val="nil"/>
              <w:left w:val="nil"/>
              <w:bottom w:val="nil"/>
              <w:right w:val="nil"/>
            </w:tcBorders>
            <w:tcMar>
              <w:top w:w="-1" w:type="dxa"/>
              <w:left w:w="-1" w:type="dxa"/>
              <w:bottom w:w="-1" w:type="dxa"/>
              <w:right w:w="-1" w:type="dxa"/>
            </w:tcMar>
            <w:vAlign w:val="center"/>
          </w:tcPr>
          <w:p w14:paraId="6AA09ED0" w14:textId="77777777" w:rsidR="00DF677B" w:rsidRDefault="009A4614">
            <w:pPr>
              <w:pStyle w:val="TableText"/>
              <w:spacing w:before="49"/>
              <w:jc w:val="center"/>
            </w:pPr>
            <w:r>
              <w:rPr>
                <w:color w:val="0F1115"/>
                <w:spacing w:val="-6"/>
              </w:rPr>
              <w:t>71.</w:t>
            </w:r>
            <w:r>
              <w:rPr>
                <w:color w:val="0F1115"/>
                <w:spacing w:val="-19"/>
              </w:rPr>
              <w:t xml:space="preserve"> </w:t>
            </w:r>
            <w:r>
              <w:rPr>
                <w:color w:val="0F1115"/>
                <w:spacing w:val="-6"/>
              </w:rPr>
              <w:t>14</w:t>
            </w:r>
          </w:p>
        </w:tc>
        <w:tc>
          <w:tcPr>
            <w:tcW w:w="0" w:type="auto"/>
            <w:tcBorders>
              <w:top w:val="nil"/>
              <w:left w:val="nil"/>
              <w:bottom w:val="nil"/>
              <w:right w:val="nil"/>
            </w:tcBorders>
            <w:tcMar>
              <w:top w:w="-1" w:type="dxa"/>
              <w:left w:w="-1" w:type="dxa"/>
              <w:bottom w:w="-1" w:type="dxa"/>
              <w:right w:w="-1" w:type="dxa"/>
            </w:tcMar>
            <w:vAlign w:val="center"/>
          </w:tcPr>
          <w:p w14:paraId="2EF98AF3" w14:textId="77777777" w:rsidR="00DF677B" w:rsidRDefault="009A4614">
            <w:pPr>
              <w:pStyle w:val="TableText"/>
              <w:spacing w:before="49"/>
              <w:jc w:val="center"/>
            </w:pPr>
            <w:r>
              <w:rPr>
                <w:color w:val="0F1115"/>
                <w:spacing w:val="-1"/>
              </w:rPr>
              <w:t>0.0849</w:t>
            </w:r>
          </w:p>
        </w:tc>
        <w:tc>
          <w:tcPr>
            <w:tcW w:w="0" w:type="auto"/>
            <w:tcBorders>
              <w:top w:val="nil"/>
              <w:left w:val="nil"/>
              <w:bottom w:val="nil"/>
              <w:right w:val="nil"/>
            </w:tcBorders>
            <w:tcMar>
              <w:top w:w="-1" w:type="dxa"/>
              <w:left w:w="-1" w:type="dxa"/>
              <w:bottom w:w="-1" w:type="dxa"/>
              <w:right w:w="-1" w:type="dxa"/>
            </w:tcMar>
            <w:vAlign w:val="center"/>
          </w:tcPr>
          <w:p w14:paraId="365449A5" w14:textId="77777777" w:rsidR="00DF677B" w:rsidRDefault="009A4614">
            <w:pPr>
              <w:pStyle w:val="TableText"/>
              <w:spacing w:before="49"/>
              <w:jc w:val="center"/>
            </w:pPr>
            <w:r>
              <w:rPr>
                <w:b/>
                <w:bCs/>
                <w:color w:val="0F1115"/>
                <w:spacing w:val="-1"/>
              </w:rPr>
              <w:t>~100%</w:t>
            </w:r>
          </w:p>
        </w:tc>
        <w:tc>
          <w:tcPr>
            <w:tcW w:w="2091" w:type="dxa"/>
            <w:tcBorders>
              <w:top w:val="nil"/>
              <w:left w:val="nil"/>
              <w:bottom w:val="nil"/>
              <w:right w:val="nil"/>
            </w:tcBorders>
            <w:tcMar>
              <w:top w:w="-1" w:type="dxa"/>
              <w:left w:w="-1" w:type="dxa"/>
              <w:bottom w:w="-1" w:type="dxa"/>
              <w:right w:w="-1" w:type="dxa"/>
            </w:tcMar>
            <w:vAlign w:val="center"/>
          </w:tcPr>
          <w:p w14:paraId="5A9A0FB6" w14:textId="77777777" w:rsidR="00DF677B" w:rsidRDefault="009A4614">
            <w:pPr>
              <w:pStyle w:val="TableText"/>
              <w:spacing w:before="111"/>
              <w:jc w:val="center"/>
              <w:rPr>
                <w:color w:val="0F1115"/>
              </w:rPr>
            </w:pPr>
            <w:r>
              <w:rPr>
                <w:color w:val="0F1115"/>
              </w:rPr>
              <w:t>Very high power. The null finding strongly rules out moderate or larger effects</w:t>
            </w:r>
          </w:p>
        </w:tc>
      </w:tr>
      <w:tr w:rsidR="00DF677B" w14:paraId="3C26327D"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030D9D24" w14:textId="77777777" w:rsidR="00DF677B" w:rsidRDefault="009A4614">
            <w:pPr>
              <w:pStyle w:val="TableText"/>
              <w:spacing w:before="49"/>
              <w:jc w:val="center"/>
            </w:pPr>
            <w:r>
              <w:rPr>
                <w:b/>
                <w:bCs/>
                <w:color w:val="0F1115"/>
                <w:spacing w:val="-2"/>
              </w:rPr>
              <w:t>B12DA →</w:t>
            </w:r>
            <w:r>
              <w:rPr>
                <w:b/>
                <w:bCs/>
                <w:color w:val="0F1115"/>
                <w:spacing w:val="13"/>
              </w:rPr>
              <w:t xml:space="preserve"> </w:t>
            </w:r>
            <w:r>
              <w:rPr>
                <w:b/>
                <w:bCs/>
                <w:color w:val="0F1115"/>
                <w:spacing w:val="-2"/>
              </w:rPr>
              <w:t>SLE</w:t>
            </w:r>
          </w:p>
        </w:tc>
        <w:tc>
          <w:tcPr>
            <w:tcW w:w="0" w:type="auto"/>
            <w:tcBorders>
              <w:top w:val="nil"/>
              <w:left w:val="nil"/>
              <w:bottom w:val="nil"/>
              <w:right w:val="nil"/>
            </w:tcBorders>
            <w:tcMar>
              <w:top w:w="-1" w:type="dxa"/>
              <w:left w:w="-1" w:type="dxa"/>
              <w:bottom w:w="-1" w:type="dxa"/>
              <w:right w:w="-1" w:type="dxa"/>
            </w:tcMar>
            <w:vAlign w:val="center"/>
          </w:tcPr>
          <w:p w14:paraId="3C520EF9" w14:textId="77777777" w:rsidR="00DF677B" w:rsidRDefault="009A4614">
            <w:pPr>
              <w:pStyle w:val="TableText"/>
              <w:spacing w:before="49"/>
              <w:jc w:val="center"/>
            </w:pPr>
            <w:r>
              <w:rPr>
                <w:color w:val="0F1115"/>
                <w:spacing w:val="-1"/>
              </w:rPr>
              <w:t>397,378</w:t>
            </w:r>
          </w:p>
        </w:tc>
        <w:tc>
          <w:tcPr>
            <w:tcW w:w="0" w:type="auto"/>
            <w:tcBorders>
              <w:top w:val="nil"/>
              <w:left w:val="nil"/>
              <w:bottom w:val="nil"/>
              <w:right w:val="nil"/>
            </w:tcBorders>
            <w:tcMar>
              <w:top w:w="-1" w:type="dxa"/>
              <w:left w:w="-1" w:type="dxa"/>
              <w:bottom w:w="-1" w:type="dxa"/>
              <w:right w:w="-1" w:type="dxa"/>
            </w:tcMar>
            <w:vAlign w:val="center"/>
          </w:tcPr>
          <w:p w14:paraId="33153656" w14:textId="77777777" w:rsidR="00DF677B" w:rsidRDefault="009A4614">
            <w:pPr>
              <w:pStyle w:val="TableText"/>
              <w:spacing w:before="49"/>
              <w:jc w:val="center"/>
            </w:pPr>
            <w:r>
              <w:rPr>
                <w:color w:val="0F1115"/>
                <w:spacing w:val="-4"/>
              </w:rPr>
              <w:t>14,267</w:t>
            </w:r>
          </w:p>
        </w:tc>
        <w:tc>
          <w:tcPr>
            <w:tcW w:w="0" w:type="auto"/>
            <w:tcBorders>
              <w:top w:val="nil"/>
              <w:left w:val="nil"/>
              <w:bottom w:val="nil"/>
              <w:right w:val="nil"/>
            </w:tcBorders>
            <w:tcMar>
              <w:top w:w="-1" w:type="dxa"/>
              <w:left w:w="-1" w:type="dxa"/>
              <w:bottom w:w="-1" w:type="dxa"/>
              <w:right w:w="-1" w:type="dxa"/>
            </w:tcMar>
            <w:vAlign w:val="center"/>
          </w:tcPr>
          <w:p w14:paraId="4FD23D7C" w14:textId="77777777" w:rsidR="00DF677B" w:rsidRDefault="009A4614">
            <w:pPr>
              <w:pStyle w:val="TableText"/>
              <w:spacing w:before="49"/>
              <w:jc w:val="center"/>
            </w:pPr>
            <w:r>
              <w:rPr>
                <w:color w:val="0F1115"/>
              </w:rPr>
              <w:t>5</w:t>
            </w:r>
          </w:p>
        </w:tc>
        <w:tc>
          <w:tcPr>
            <w:tcW w:w="0" w:type="auto"/>
            <w:tcBorders>
              <w:top w:val="nil"/>
              <w:left w:val="nil"/>
              <w:bottom w:val="nil"/>
              <w:right w:val="nil"/>
            </w:tcBorders>
            <w:tcMar>
              <w:top w:w="-1" w:type="dxa"/>
              <w:left w:w="-1" w:type="dxa"/>
              <w:bottom w:w="-1" w:type="dxa"/>
              <w:right w:w="-1" w:type="dxa"/>
            </w:tcMar>
            <w:vAlign w:val="center"/>
          </w:tcPr>
          <w:p w14:paraId="4F8D9962" w14:textId="77777777" w:rsidR="00DF677B" w:rsidRDefault="009A4614">
            <w:pPr>
              <w:pStyle w:val="TableText"/>
              <w:spacing w:before="49"/>
              <w:jc w:val="center"/>
            </w:pPr>
            <w:r>
              <w:rPr>
                <w:color w:val="0F1115"/>
                <w:spacing w:val="-1"/>
              </w:rPr>
              <w:t>0.797</w:t>
            </w:r>
          </w:p>
        </w:tc>
        <w:tc>
          <w:tcPr>
            <w:tcW w:w="0" w:type="auto"/>
            <w:tcBorders>
              <w:top w:val="nil"/>
              <w:left w:val="nil"/>
              <w:bottom w:val="nil"/>
              <w:right w:val="nil"/>
            </w:tcBorders>
            <w:tcMar>
              <w:top w:w="-1" w:type="dxa"/>
              <w:left w:w="-1" w:type="dxa"/>
              <w:bottom w:w="-1" w:type="dxa"/>
              <w:right w:w="-1" w:type="dxa"/>
            </w:tcMar>
            <w:vAlign w:val="center"/>
          </w:tcPr>
          <w:p w14:paraId="06422E8E" w14:textId="77777777" w:rsidR="00DF677B" w:rsidRDefault="009A4614">
            <w:pPr>
              <w:pStyle w:val="TableText"/>
              <w:spacing w:before="49"/>
              <w:jc w:val="center"/>
            </w:pPr>
            <w:r>
              <w:rPr>
                <w:color w:val="0F1115"/>
                <w:spacing w:val="-2"/>
              </w:rPr>
              <w:t>52.37</w:t>
            </w:r>
          </w:p>
        </w:tc>
        <w:tc>
          <w:tcPr>
            <w:tcW w:w="0" w:type="auto"/>
            <w:tcBorders>
              <w:top w:val="nil"/>
              <w:left w:val="nil"/>
              <w:bottom w:val="nil"/>
              <w:right w:val="nil"/>
            </w:tcBorders>
            <w:tcMar>
              <w:top w:w="-1" w:type="dxa"/>
              <w:left w:w="-1" w:type="dxa"/>
              <w:bottom w:w="-1" w:type="dxa"/>
              <w:right w:w="-1" w:type="dxa"/>
            </w:tcMar>
            <w:vAlign w:val="center"/>
          </w:tcPr>
          <w:p w14:paraId="3400AAEB" w14:textId="77777777" w:rsidR="00DF677B" w:rsidRDefault="009A4614">
            <w:pPr>
              <w:pStyle w:val="TableText"/>
              <w:spacing w:before="49"/>
              <w:jc w:val="center"/>
            </w:pPr>
            <w:r>
              <w:rPr>
                <w:color w:val="0F1115"/>
                <w:spacing w:val="-1"/>
              </w:rPr>
              <w:t>0.0010</w:t>
            </w:r>
          </w:p>
        </w:tc>
        <w:tc>
          <w:tcPr>
            <w:tcW w:w="0" w:type="auto"/>
            <w:tcBorders>
              <w:top w:val="nil"/>
              <w:left w:val="nil"/>
              <w:bottom w:val="nil"/>
              <w:right w:val="nil"/>
            </w:tcBorders>
            <w:tcMar>
              <w:top w:w="-1" w:type="dxa"/>
              <w:left w:w="-1" w:type="dxa"/>
              <w:bottom w:w="-1" w:type="dxa"/>
              <w:right w:w="-1" w:type="dxa"/>
            </w:tcMar>
            <w:vAlign w:val="center"/>
          </w:tcPr>
          <w:p w14:paraId="18A9CF17" w14:textId="77777777" w:rsidR="00DF677B" w:rsidRDefault="009A4614">
            <w:pPr>
              <w:pStyle w:val="TableText"/>
              <w:spacing w:before="49"/>
              <w:jc w:val="center"/>
            </w:pPr>
            <w:r>
              <w:rPr>
                <w:b/>
                <w:bCs/>
                <w:color w:val="0F1115"/>
                <w:spacing w:val="-1"/>
              </w:rPr>
              <w:t>~100%</w:t>
            </w:r>
          </w:p>
        </w:tc>
        <w:tc>
          <w:tcPr>
            <w:tcW w:w="2091" w:type="dxa"/>
            <w:tcBorders>
              <w:top w:val="nil"/>
              <w:left w:val="nil"/>
              <w:bottom w:val="nil"/>
              <w:right w:val="nil"/>
            </w:tcBorders>
            <w:tcMar>
              <w:top w:w="-1" w:type="dxa"/>
              <w:left w:w="-1" w:type="dxa"/>
              <w:bottom w:w="-1" w:type="dxa"/>
              <w:right w:w="-1" w:type="dxa"/>
            </w:tcMar>
            <w:vAlign w:val="center"/>
          </w:tcPr>
          <w:p w14:paraId="669D5080" w14:textId="77777777" w:rsidR="00DF677B" w:rsidRDefault="009A4614">
            <w:pPr>
              <w:pStyle w:val="TableText"/>
              <w:spacing w:before="111"/>
              <w:jc w:val="center"/>
              <w:rPr>
                <w:color w:val="0F1115"/>
              </w:rPr>
            </w:pPr>
            <w:r>
              <w:rPr>
                <w:color w:val="0F1115"/>
              </w:rPr>
              <w:t>Very high power. The detected</w:t>
            </w:r>
            <w:r>
              <w:rPr>
                <w:rFonts w:hint="eastAsia"/>
                <w:color w:val="0F1115"/>
              </w:rPr>
              <w:t xml:space="preserve"> </w:t>
            </w:r>
            <w:r>
              <w:rPr>
                <w:color w:val="0F1115"/>
              </w:rPr>
              <w:t>strong effect (OR</w:t>
            </w:r>
            <w:r>
              <w:rPr>
                <w:rFonts w:hint="eastAsia"/>
                <w:color w:val="0F1115"/>
              </w:rPr>
              <w:t xml:space="preserve"> </w:t>
            </w:r>
            <w:r>
              <w:rPr>
                <w:color w:val="0F1115"/>
              </w:rPr>
              <w:t>=</w:t>
            </w:r>
            <w:r>
              <w:rPr>
                <w:rFonts w:hint="eastAsia"/>
                <w:color w:val="0F1115"/>
              </w:rPr>
              <w:t xml:space="preserve"> </w:t>
            </w:r>
            <w:r>
              <w:rPr>
                <w:color w:val="0F1115"/>
              </w:rPr>
              <w:t>2.22) is very</w:t>
            </w:r>
            <w:r>
              <w:rPr>
                <w:rFonts w:hint="eastAsia"/>
                <w:color w:val="0F1115"/>
              </w:rPr>
              <w:t xml:space="preserve"> </w:t>
            </w:r>
            <w:r>
              <w:rPr>
                <w:color w:val="0F1115"/>
              </w:rPr>
              <w:t>robust</w:t>
            </w:r>
          </w:p>
        </w:tc>
      </w:tr>
      <w:tr w:rsidR="00DF677B" w14:paraId="00CE6DE3"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06BC625" w14:textId="77777777" w:rsidR="00DF677B" w:rsidRDefault="009A4614">
            <w:pPr>
              <w:pStyle w:val="TableText"/>
              <w:spacing w:before="48"/>
              <w:jc w:val="center"/>
            </w:pPr>
            <w:r>
              <w:rPr>
                <w:b/>
                <w:bCs/>
                <w:color w:val="0F1115"/>
                <w:spacing w:val="-3"/>
              </w:rPr>
              <w:t>ITP</w:t>
            </w:r>
            <w:r>
              <w:rPr>
                <w:b/>
                <w:bCs/>
                <w:color w:val="0F1115"/>
                <w:spacing w:val="7"/>
              </w:rPr>
              <w:t xml:space="preserve"> </w:t>
            </w:r>
            <w:r>
              <w:rPr>
                <w:b/>
                <w:bCs/>
                <w:color w:val="0F1115"/>
                <w:spacing w:val="-3"/>
              </w:rPr>
              <w:t>→</w:t>
            </w:r>
            <w:r>
              <w:rPr>
                <w:b/>
                <w:bCs/>
                <w:color w:val="0F1115"/>
                <w:spacing w:val="7"/>
              </w:rPr>
              <w:t xml:space="preserve"> </w:t>
            </w:r>
            <w:r>
              <w:rPr>
                <w:b/>
                <w:bCs/>
                <w:color w:val="0F1115"/>
                <w:spacing w:val="-3"/>
              </w:rPr>
              <w:t>SLE</w:t>
            </w:r>
          </w:p>
        </w:tc>
        <w:tc>
          <w:tcPr>
            <w:tcW w:w="0" w:type="auto"/>
            <w:tcBorders>
              <w:top w:val="nil"/>
              <w:left w:val="nil"/>
              <w:bottom w:val="nil"/>
              <w:right w:val="nil"/>
            </w:tcBorders>
            <w:tcMar>
              <w:top w:w="-1" w:type="dxa"/>
              <w:left w:w="-1" w:type="dxa"/>
              <w:bottom w:w="-1" w:type="dxa"/>
              <w:right w:w="-1" w:type="dxa"/>
            </w:tcMar>
            <w:vAlign w:val="center"/>
          </w:tcPr>
          <w:p w14:paraId="619D4006" w14:textId="77777777" w:rsidR="00DF677B" w:rsidRDefault="009A4614">
            <w:pPr>
              <w:pStyle w:val="TableText"/>
              <w:spacing w:before="49"/>
              <w:jc w:val="center"/>
            </w:pPr>
            <w:r>
              <w:rPr>
                <w:color w:val="0F1115"/>
                <w:spacing w:val="-1"/>
              </w:rPr>
              <w:t>406,644</w:t>
            </w:r>
          </w:p>
        </w:tc>
        <w:tc>
          <w:tcPr>
            <w:tcW w:w="0" w:type="auto"/>
            <w:tcBorders>
              <w:top w:val="nil"/>
              <w:left w:val="nil"/>
              <w:bottom w:val="nil"/>
              <w:right w:val="nil"/>
            </w:tcBorders>
            <w:tcMar>
              <w:top w:w="-1" w:type="dxa"/>
              <w:left w:w="-1" w:type="dxa"/>
              <w:bottom w:w="-1" w:type="dxa"/>
              <w:right w:w="-1" w:type="dxa"/>
            </w:tcMar>
            <w:vAlign w:val="center"/>
          </w:tcPr>
          <w:p w14:paraId="68AE0410" w14:textId="77777777" w:rsidR="00DF677B" w:rsidRDefault="009A4614">
            <w:pPr>
              <w:pStyle w:val="TableText"/>
              <w:spacing w:before="49"/>
              <w:jc w:val="center"/>
            </w:pPr>
            <w:r>
              <w:rPr>
                <w:color w:val="0F1115"/>
                <w:spacing w:val="-4"/>
              </w:rPr>
              <w:t>14,267</w:t>
            </w:r>
          </w:p>
        </w:tc>
        <w:tc>
          <w:tcPr>
            <w:tcW w:w="0" w:type="auto"/>
            <w:tcBorders>
              <w:top w:val="nil"/>
              <w:left w:val="nil"/>
              <w:bottom w:val="nil"/>
              <w:right w:val="nil"/>
            </w:tcBorders>
            <w:tcMar>
              <w:top w:w="-1" w:type="dxa"/>
              <w:left w:w="-1" w:type="dxa"/>
              <w:bottom w:w="-1" w:type="dxa"/>
              <w:right w:w="-1" w:type="dxa"/>
            </w:tcMar>
            <w:vAlign w:val="center"/>
          </w:tcPr>
          <w:p w14:paraId="76DECA80" w14:textId="77777777" w:rsidR="00DF677B" w:rsidRDefault="009A4614">
            <w:pPr>
              <w:pStyle w:val="TableText"/>
              <w:spacing w:before="48"/>
              <w:jc w:val="center"/>
            </w:pPr>
            <w:r>
              <w:rPr>
                <w:color w:val="0F1115"/>
                <w:spacing w:val="-4"/>
              </w:rPr>
              <w:t>36</w:t>
            </w:r>
          </w:p>
        </w:tc>
        <w:tc>
          <w:tcPr>
            <w:tcW w:w="0" w:type="auto"/>
            <w:tcBorders>
              <w:top w:val="nil"/>
              <w:left w:val="nil"/>
              <w:bottom w:val="nil"/>
              <w:right w:val="nil"/>
            </w:tcBorders>
            <w:tcMar>
              <w:top w:w="-1" w:type="dxa"/>
              <w:left w:w="-1" w:type="dxa"/>
              <w:bottom w:w="-1" w:type="dxa"/>
              <w:right w:w="-1" w:type="dxa"/>
            </w:tcMar>
            <w:vAlign w:val="center"/>
          </w:tcPr>
          <w:p w14:paraId="5C0B97E5" w14:textId="77777777" w:rsidR="00DF677B" w:rsidRDefault="009A4614">
            <w:pPr>
              <w:pStyle w:val="TableText"/>
              <w:spacing w:before="242"/>
              <w:jc w:val="center"/>
            </w:pPr>
            <w:r>
              <w:rPr>
                <w:color w:val="0F1115"/>
                <w:spacing w:val="-2"/>
              </w:rPr>
              <w:t>-0.004</w:t>
            </w:r>
          </w:p>
          <w:p w14:paraId="43CF0EB9" w14:textId="77777777" w:rsidR="00DF677B" w:rsidRDefault="009A4614">
            <w:pPr>
              <w:pStyle w:val="TableText"/>
              <w:spacing w:before="64"/>
              <w:jc w:val="center"/>
            </w:pPr>
            <w:r>
              <w:rPr>
                <w:color w:val="0F1115"/>
                <w:spacing w:val="-2"/>
              </w:rPr>
              <w:t>(Preset:</w:t>
            </w:r>
          </w:p>
          <w:p w14:paraId="7974A393" w14:textId="77777777" w:rsidR="00DF677B" w:rsidRDefault="009A4614">
            <w:pPr>
              <w:pStyle w:val="TableText"/>
              <w:spacing w:before="64"/>
              <w:jc w:val="center"/>
            </w:pPr>
            <w:r>
              <w:rPr>
                <w:color w:val="0F1115"/>
                <w:spacing w:val="-1"/>
              </w:rPr>
              <w:t>0.0953*)</w:t>
            </w:r>
          </w:p>
        </w:tc>
        <w:tc>
          <w:tcPr>
            <w:tcW w:w="0" w:type="auto"/>
            <w:tcBorders>
              <w:top w:val="nil"/>
              <w:left w:val="nil"/>
              <w:bottom w:val="nil"/>
              <w:right w:val="nil"/>
            </w:tcBorders>
            <w:tcMar>
              <w:top w:w="-1" w:type="dxa"/>
              <w:left w:w="-1" w:type="dxa"/>
              <w:bottom w:w="-1" w:type="dxa"/>
              <w:right w:w="-1" w:type="dxa"/>
            </w:tcMar>
            <w:vAlign w:val="center"/>
          </w:tcPr>
          <w:p w14:paraId="0AB42C7A" w14:textId="77777777" w:rsidR="00DF677B" w:rsidRDefault="009A4614">
            <w:pPr>
              <w:pStyle w:val="TableText"/>
              <w:spacing w:before="48"/>
              <w:jc w:val="center"/>
            </w:pPr>
            <w:r>
              <w:rPr>
                <w:color w:val="0F1115"/>
                <w:spacing w:val="-4"/>
              </w:rPr>
              <w:t>18.31</w:t>
            </w:r>
          </w:p>
        </w:tc>
        <w:tc>
          <w:tcPr>
            <w:tcW w:w="0" w:type="auto"/>
            <w:tcBorders>
              <w:top w:val="nil"/>
              <w:left w:val="nil"/>
              <w:bottom w:val="nil"/>
              <w:right w:val="nil"/>
            </w:tcBorders>
            <w:tcMar>
              <w:top w:w="-1" w:type="dxa"/>
              <w:left w:w="-1" w:type="dxa"/>
              <w:bottom w:w="-1" w:type="dxa"/>
              <w:right w:w="-1" w:type="dxa"/>
            </w:tcMar>
            <w:vAlign w:val="center"/>
          </w:tcPr>
          <w:p w14:paraId="3D1AF15A" w14:textId="77777777" w:rsidR="00DF677B" w:rsidRDefault="009A4614">
            <w:pPr>
              <w:pStyle w:val="TableText"/>
              <w:spacing w:before="48"/>
              <w:jc w:val="center"/>
            </w:pPr>
            <w:r>
              <w:rPr>
                <w:color w:val="0F1115"/>
                <w:spacing w:val="-1"/>
              </w:rPr>
              <w:t>0.0017</w:t>
            </w:r>
          </w:p>
        </w:tc>
        <w:tc>
          <w:tcPr>
            <w:tcW w:w="0" w:type="auto"/>
            <w:tcBorders>
              <w:top w:val="nil"/>
              <w:left w:val="nil"/>
              <w:bottom w:val="nil"/>
              <w:right w:val="nil"/>
            </w:tcBorders>
            <w:tcMar>
              <w:top w:w="-1" w:type="dxa"/>
              <w:left w:w="-1" w:type="dxa"/>
              <w:bottom w:w="-1" w:type="dxa"/>
              <w:right w:w="-1" w:type="dxa"/>
            </w:tcMar>
            <w:vAlign w:val="center"/>
          </w:tcPr>
          <w:p w14:paraId="4DA9E9E7" w14:textId="77777777" w:rsidR="00DF677B" w:rsidRDefault="009A4614">
            <w:pPr>
              <w:pStyle w:val="TableText"/>
              <w:spacing w:before="48"/>
              <w:jc w:val="center"/>
            </w:pPr>
            <w:r>
              <w:rPr>
                <w:b/>
                <w:bCs/>
                <w:color w:val="0F1115"/>
              </w:rPr>
              <w:t>~21%</w:t>
            </w:r>
          </w:p>
        </w:tc>
        <w:tc>
          <w:tcPr>
            <w:tcW w:w="2091" w:type="dxa"/>
            <w:tcBorders>
              <w:top w:val="nil"/>
              <w:left w:val="nil"/>
              <w:bottom w:val="nil"/>
              <w:right w:val="nil"/>
            </w:tcBorders>
            <w:tcMar>
              <w:top w:w="-1" w:type="dxa"/>
              <w:left w:w="-1" w:type="dxa"/>
              <w:bottom w:w="-1" w:type="dxa"/>
              <w:right w:w="-1" w:type="dxa"/>
            </w:tcMar>
            <w:vAlign w:val="center"/>
          </w:tcPr>
          <w:p w14:paraId="239AB2EA" w14:textId="77777777" w:rsidR="00DF677B" w:rsidRDefault="009A4614">
            <w:pPr>
              <w:pStyle w:val="TableText"/>
              <w:spacing w:before="129"/>
              <w:jc w:val="center"/>
              <w:rPr>
                <w:color w:val="0F1115"/>
              </w:rPr>
            </w:pPr>
            <w:r>
              <w:rPr>
                <w:color w:val="0F1115"/>
              </w:rPr>
              <w:t>Low power. Unable to reliably</w:t>
            </w:r>
            <w:r>
              <w:rPr>
                <w:rFonts w:hint="eastAsia"/>
                <w:color w:val="0F1115"/>
              </w:rPr>
              <w:t xml:space="preserve"> </w:t>
            </w:r>
            <w:r>
              <w:rPr>
                <w:color w:val="0F1115"/>
              </w:rPr>
              <w:t>detect weak effects. Null result</w:t>
            </w:r>
            <w:r>
              <w:rPr>
                <w:rFonts w:hint="eastAsia"/>
                <w:color w:val="0F1115"/>
              </w:rPr>
              <w:t xml:space="preserve"> </w:t>
            </w:r>
            <w:r>
              <w:rPr>
                <w:color w:val="0F1115"/>
              </w:rPr>
              <w:t>should be interpreted</w:t>
            </w:r>
            <w:r>
              <w:rPr>
                <w:rFonts w:hint="eastAsia"/>
                <w:color w:val="0F1115"/>
              </w:rPr>
              <w:t xml:space="preserve"> </w:t>
            </w:r>
            <w:r>
              <w:rPr>
                <w:color w:val="0F1115"/>
              </w:rPr>
              <w:t>cautiously</w:t>
            </w:r>
          </w:p>
        </w:tc>
      </w:tr>
      <w:tr w:rsidR="00DF677B" w14:paraId="3777AB77"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0A5A5DC2" w14:textId="77777777" w:rsidR="00DF677B" w:rsidRDefault="009A4614">
            <w:pPr>
              <w:pStyle w:val="TableText"/>
              <w:spacing w:before="48"/>
              <w:jc w:val="center"/>
            </w:pPr>
            <w:r>
              <w:rPr>
                <w:b/>
                <w:bCs/>
                <w:color w:val="0F1115"/>
                <w:spacing w:val="-2"/>
              </w:rPr>
              <w:t>AGC →</w:t>
            </w:r>
            <w:r>
              <w:rPr>
                <w:b/>
                <w:bCs/>
                <w:color w:val="0F1115"/>
                <w:spacing w:val="13"/>
                <w:w w:val="101"/>
              </w:rPr>
              <w:t xml:space="preserve"> </w:t>
            </w:r>
            <w:r>
              <w:rPr>
                <w:b/>
                <w:bCs/>
                <w:color w:val="0F1115"/>
                <w:spacing w:val="-2"/>
              </w:rPr>
              <w:t>SLE</w:t>
            </w:r>
          </w:p>
        </w:tc>
        <w:tc>
          <w:tcPr>
            <w:tcW w:w="0" w:type="auto"/>
            <w:tcBorders>
              <w:top w:val="nil"/>
              <w:left w:val="nil"/>
              <w:bottom w:val="nil"/>
              <w:right w:val="nil"/>
            </w:tcBorders>
            <w:tcMar>
              <w:top w:w="-1" w:type="dxa"/>
              <w:left w:w="-1" w:type="dxa"/>
              <w:bottom w:w="-1" w:type="dxa"/>
              <w:right w:w="-1" w:type="dxa"/>
            </w:tcMar>
            <w:vAlign w:val="center"/>
          </w:tcPr>
          <w:p w14:paraId="47CB891C" w14:textId="77777777" w:rsidR="00DF677B" w:rsidRDefault="009A4614">
            <w:pPr>
              <w:pStyle w:val="TableText"/>
              <w:spacing w:before="48"/>
              <w:jc w:val="center"/>
            </w:pPr>
            <w:r>
              <w:rPr>
                <w:color w:val="0F1115"/>
                <w:spacing w:val="-1"/>
              </w:rPr>
              <w:t>408,201</w:t>
            </w:r>
          </w:p>
        </w:tc>
        <w:tc>
          <w:tcPr>
            <w:tcW w:w="0" w:type="auto"/>
            <w:tcBorders>
              <w:top w:val="nil"/>
              <w:left w:val="nil"/>
              <w:bottom w:val="nil"/>
              <w:right w:val="nil"/>
            </w:tcBorders>
            <w:tcMar>
              <w:top w:w="-1" w:type="dxa"/>
              <w:left w:w="-1" w:type="dxa"/>
              <w:bottom w:w="-1" w:type="dxa"/>
              <w:right w:w="-1" w:type="dxa"/>
            </w:tcMar>
            <w:vAlign w:val="center"/>
          </w:tcPr>
          <w:p w14:paraId="6657CDE6" w14:textId="77777777" w:rsidR="00DF677B" w:rsidRDefault="009A4614">
            <w:pPr>
              <w:pStyle w:val="TableText"/>
              <w:spacing w:before="48"/>
              <w:jc w:val="center"/>
            </w:pPr>
            <w:r>
              <w:rPr>
                <w:color w:val="0F1115"/>
                <w:spacing w:val="-4"/>
              </w:rPr>
              <w:t>14,267</w:t>
            </w:r>
          </w:p>
        </w:tc>
        <w:tc>
          <w:tcPr>
            <w:tcW w:w="0" w:type="auto"/>
            <w:tcBorders>
              <w:top w:val="nil"/>
              <w:left w:val="nil"/>
              <w:bottom w:val="nil"/>
              <w:right w:val="nil"/>
            </w:tcBorders>
            <w:tcMar>
              <w:top w:w="-1" w:type="dxa"/>
              <w:left w:w="-1" w:type="dxa"/>
              <w:bottom w:w="-1" w:type="dxa"/>
              <w:right w:w="-1" w:type="dxa"/>
            </w:tcMar>
            <w:vAlign w:val="center"/>
          </w:tcPr>
          <w:p w14:paraId="5182E717" w14:textId="77777777" w:rsidR="00DF677B" w:rsidRDefault="009A4614">
            <w:pPr>
              <w:pStyle w:val="TableText"/>
              <w:spacing w:before="48"/>
              <w:jc w:val="center"/>
            </w:pPr>
            <w:r>
              <w:rPr>
                <w:color w:val="0F1115"/>
                <w:spacing w:val="-2"/>
              </w:rPr>
              <w:t>47</w:t>
            </w:r>
          </w:p>
        </w:tc>
        <w:tc>
          <w:tcPr>
            <w:tcW w:w="0" w:type="auto"/>
            <w:tcBorders>
              <w:top w:val="nil"/>
              <w:left w:val="nil"/>
              <w:bottom w:val="nil"/>
              <w:right w:val="nil"/>
            </w:tcBorders>
            <w:tcMar>
              <w:top w:w="-1" w:type="dxa"/>
              <w:left w:w="-1" w:type="dxa"/>
              <w:bottom w:w="-1" w:type="dxa"/>
              <w:right w:w="-1" w:type="dxa"/>
            </w:tcMar>
            <w:vAlign w:val="center"/>
          </w:tcPr>
          <w:p w14:paraId="25E844D5" w14:textId="77777777" w:rsidR="00DF677B" w:rsidRDefault="009A4614">
            <w:pPr>
              <w:pStyle w:val="TableText"/>
              <w:spacing w:before="226"/>
              <w:jc w:val="center"/>
            </w:pPr>
            <w:r>
              <w:rPr>
                <w:color w:val="0F1115"/>
                <w:spacing w:val="-1"/>
              </w:rPr>
              <w:t>0.036</w:t>
            </w:r>
          </w:p>
          <w:p w14:paraId="5AA5734C" w14:textId="77777777" w:rsidR="00DF677B" w:rsidRDefault="009A4614">
            <w:pPr>
              <w:pStyle w:val="TableText"/>
              <w:spacing w:before="64"/>
              <w:jc w:val="center"/>
            </w:pPr>
            <w:r>
              <w:rPr>
                <w:color w:val="0F1115"/>
                <w:spacing w:val="-2"/>
              </w:rPr>
              <w:t>(Preset:</w:t>
            </w:r>
          </w:p>
          <w:p w14:paraId="1845153C" w14:textId="77777777" w:rsidR="00DF677B" w:rsidRDefault="009A4614">
            <w:pPr>
              <w:pStyle w:val="TableText"/>
              <w:spacing w:before="64"/>
              <w:jc w:val="center"/>
            </w:pPr>
            <w:r>
              <w:rPr>
                <w:color w:val="0F1115"/>
                <w:spacing w:val="-1"/>
              </w:rPr>
              <w:t>0.0953*)</w:t>
            </w:r>
          </w:p>
        </w:tc>
        <w:tc>
          <w:tcPr>
            <w:tcW w:w="0" w:type="auto"/>
            <w:tcBorders>
              <w:top w:val="nil"/>
              <w:left w:val="nil"/>
              <w:bottom w:val="nil"/>
              <w:right w:val="nil"/>
            </w:tcBorders>
            <w:tcMar>
              <w:top w:w="-1" w:type="dxa"/>
              <w:left w:w="-1" w:type="dxa"/>
              <w:bottom w:w="-1" w:type="dxa"/>
              <w:right w:w="-1" w:type="dxa"/>
            </w:tcMar>
            <w:vAlign w:val="center"/>
          </w:tcPr>
          <w:p w14:paraId="2D4C647B" w14:textId="77777777" w:rsidR="00DF677B" w:rsidRDefault="009A4614">
            <w:pPr>
              <w:pStyle w:val="TableText"/>
              <w:spacing w:before="48"/>
              <w:jc w:val="center"/>
            </w:pPr>
            <w:r>
              <w:rPr>
                <w:color w:val="0F1115"/>
                <w:spacing w:val="-4"/>
              </w:rPr>
              <w:t>19.41</w:t>
            </w:r>
          </w:p>
        </w:tc>
        <w:tc>
          <w:tcPr>
            <w:tcW w:w="0" w:type="auto"/>
            <w:tcBorders>
              <w:top w:val="nil"/>
              <w:left w:val="nil"/>
              <w:bottom w:val="nil"/>
              <w:right w:val="nil"/>
            </w:tcBorders>
            <w:tcMar>
              <w:top w:w="-1" w:type="dxa"/>
              <w:left w:w="-1" w:type="dxa"/>
              <w:bottom w:w="-1" w:type="dxa"/>
              <w:right w:w="-1" w:type="dxa"/>
            </w:tcMar>
            <w:vAlign w:val="center"/>
          </w:tcPr>
          <w:p w14:paraId="66B799AC" w14:textId="77777777" w:rsidR="00DF677B" w:rsidRDefault="009A4614">
            <w:pPr>
              <w:pStyle w:val="TableText"/>
              <w:spacing w:before="48"/>
              <w:jc w:val="center"/>
            </w:pPr>
            <w:r>
              <w:rPr>
                <w:color w:val="0F1115"/>
                <w:spacing w:val="-1"/>
              </w:rPr>
              <w:t>0.0021</w:t>
            </w:r>
          </w:p>
        </w:tc>
        <w:tc>
          <w:tcPr>
            <w:tcW w:w="0" w:type="auto"/>
            <w:tcBorders>
              <w:top w:val="nil"/>
              <w:left w:val="nil"/>
              <w:bottom w:val="nil"/>
              <w:right w:val="nil"/>
            </w:tcBorders>
            <w:tcMar>
              <w:top w:w="-1" w:type="dxa"/>
              <w:left w:w="-1" w:type="dxa"/>
              <w:bottom w:w="-1" w:type="dxa"/>
              <w:right w:w="-1" w:type="dxa"/>
            </w:tcMar>
            <w:vAlign w:val="center"/>
          </w:tcPr>
          <w:p w14:paraId="2C8F5744" w14:textId="77777777" w:rsidR="00DF677B" w:rsidRDefault="009A4614">
            <w:pPr>
              <w:pStyle w:val="TableText"/>
              <w:spacing w:before="49"/>
              <w:jc w:val="center"/>
            </w:pPr>
            <w:r>
              <w:rPr>
                <w:b/>
                <w:bCs/>
                <w:color w:val="0F1115"/>
              </w:rPr>
              <w:t>~22%</w:t>
            </w:r>
          </w:p>
        </w:tc>
        <w:tc>
          <w:tcPr>
            <w:tcW w:w="2091" w:type="dxa"/>
            <w:tcBorders>
              <w:top w:val="nil"/>
              <w:left w:val="nil"/>
              <w:bottom w:val="nil"/>
              <w:right w:val="nil"/>
            </w:tcBorders>
            <w:tcMar>
              <w:top w:w="-1" w:type="dxa"/>
              <w:left w:w="-1" w:type="dxa"/>
              <w:bottom w:w="-1" w:type="dxa"/>
              <w:right w:w="-1" w:type="dxa"/>
            </w:tcMar>
            <w:vAlign w:val="center"/>
          </w:tcPr>
          <w:p w14:paraId="7630569D" w14:textId="77777777" w:rsidR="00DF677B" w:rsidRDefault="009A4614">
            <w:pPr>
              <w:pStyle w:val="TableText"/>
              <w:spacing w:before="113"/>
              <w:jc w:val="center"/>
              <w:rPr>
                <w:color w:val="0F1115"/>
              </w:rPr>
            </w:pPr>
            <w:r>
              <w:rPr>
                <w:color w:val="0F1115"/>
              </w:rPr>
              <w:t>Low power. Unable to reliably</w:t>
            </w:r>
            <w:r>
              <w:rPr>
                <w:rFonts w:hint="eastAsia"/>
                <w:color w:val="0F1115"/>
              </w:rPr>
              <w:t xml:space="preserve"> </w:t>
            </w:r>
            <w:r>
              <w:rPr>
                <w:color w:val="0F1115"/>
              </w:rPr>
              <w:t>detect weak effects. Null result</w:t>
            </w:r>
            <w:r>
              <w:rPr>
                <w:rFonts w:hint="eastAsia"/>
                <w:color w:val="0F1115"/>
              </w:rPr>
              <w:t xml:space="preserve"> </w:t>
            </w:r>
            <w:r>
              <w:rPr>
                <w:color w:val="0F1115"/>
              </w:rPr>
              <w:t>should be interpreted</w:t>
            </w:r>
            <w:r>
              <w:rPr>
                <w:rFonts w:hint="eastAsia"/>
                <w:color w:val="0F1115"/>
              </w:rPr>
              <w:t xml:space="preserve"> </w:t>
            </w:r>
            <w:r>
              <w:rPr>
                <w:color w:val="0F1115"/>
              </w:rPr>
              <w:t>cautiously</w:t>
            </w:r>
          </w:p>
        </w:tc>
      </w:tr>
      <w:tr w:rsidR="00DF677B" w14:paraId="29C296BA"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04F9B366" w14:textId="77777777" w:rsidR="00DF677B" w:rsidRDefault="009A4614">
            <w:pPr>
              <w:pStyle w:val="TableText"/>
              <w:spacing w:before="49"/>
              <w:jc w:val="center"/>
            </w:pPr>
            <w:r>
              <w:rPr>
                <w:b/>
                <w:bCs/>
                <w:color w:val="0F1115"/>
                <w:spacing w:val="-2"/>
              </w:rPr>
              <w:t>MDS →</w:t>
            </w:r>
            <w:r>
              <w:rPr>
                <w:b/>
                <w:bCs/>
                <w:color w:val="0F1115"/>
                <w:spacing w:val="11"/>
                <w:w w:val="101"/>
              </w:rPr>
              <w:t xml:space="preserve"> </w:t>
            </w:r>
            <w:r>
              <w:rPr>
                <w:b/>
                <w:bCs/>
                <w:color w:val="0F1115"/>
                <w:spacing w:val="-2"/>
              </w:rPr>
              <w:t>SLE</w:t>
            </w:r>
          </w:p>
        </w:tc>
        <w:tc>
          <w:tcPr>
            <w:tcW w:w="0" w:type="auto"/>
            <w:tcBorders>
              <w:top w:val="nil"/>
              <w:left w:val="nil"/>
              <w:bottom w:val="nil"/>
              <w:right w:val="nil"/>
            </w:tcBorders>
            <w:tcMar>
              <w:top w:w="-1" w:type="dxa"/>
              <w:left w:w="-1" w:type="dxa"/>
              <w:bottom w:w="-1" w:type="dxa"/>
              <w:right w:w="-1" w:type="dxa"/>
            </w:tcMar>
            <w:vAlign w:val="center"/>
          </w:tcPr>
          <w:p w14:paraId="7A64083F" w14:textId="77777777" w:rsidR="00DF677B" w:rsidRDefault="009A4614">
            <w:pPr>
              <w:pStyle w:val="TableText"/>
              <w:spacing w:before="49"/>
              <w:jc w:val="center"/>
            </w:pPr>
            <w:r>
              <w:rPr>
                <w:color w:val="0F1115"/>
                <w:spacing w:val="-1"/>
              </w:rPr>
              <w:t>314,302</w:t>
            </w:r>
          </w:p>
        </w:tc>
        <w:tc>
          <w:tcPr>
            <w:tcW w:w="0" w:type="auto"/>
            <w:tcBorders>
              <w:top w:val="nil"/>
              <w:left w:val="nil"/>
              <w:bottom w:val="nil"/>
              <w:right w:val="nil"/>
            </w:tcBorders>
            <w:tcMar>
              <w:top w:w="-1" w:type="dxa"/>
              <w:left w:w="-1" w:type="dxa"/>
              <w:bottom w:w="-1" w:type="dxa"/>
              <w:right w:w="-1" w:type="dxa"/>
            </w:tcMar>
            <w:vAlign w:val="center"/>
          </w:tcPr>
          <w:p w14:paraId="6A9D61EE" w14:textId="77777777" w:rsidR="00DF677B" w:rsidRDefault="009A4614">
            <w:pPr>
              <w:pStyle w:val="TableText"/>
              <w:spacing w:before="49"/>
              <w:jc w:val="center"/>
            </w:pPr>
            <w:r>
              <w:rPr>
                <w:color w:val="0F1115"/>
                <w:spacing w:val="-4"/>
              </w:rPr>
              <w:t>14,267</w:t>
            </w:r>
          </w:p>
        </w:tc>
        <w:tc>
          <w:tcPr>
            <w:tcW w:w="0" w:type="auto"/>
            <w:tcBorders>
              <w:top w:val="nil"/>
              <w:left w:val="nil"/>
              <w:bottom w:val="nil"/>
              <w:right w:val="nil"/>
            </w:tcBorders>
            <w:tcMar>
              <w:top w:w="-1" w:type="dxa"/>
              <w:left w:w="-1" w:type="dxa"/>
              <w:bottom w:w="-1" w:type="dxa"/>
              <w:right w:w="-1" w:type="dxa"/>
            </w:tcMar>
            <w:vAlign w:val="center"/>
          </w:tcPr>
          <w:p w14:paraId="32C2C9D8" w14:textId="77777777" w:rsidR="00DF677B" w:rsidRDefault="009A4614">
            <w:pPr>
              <w:pStyle w:val="TableText"/>
              <w:spacing w:before="49"/>
              <w:jc w:val="center"/>
            </w:pPr>
            <w:r>
              <w:rPr>
                <w:color w:val="0F1115"/>
                <w:spacing w:val="-10"/>
              </w:rPr>
              <w:t>17</w:t>
            </w:r>
          </w:p>
        </w:tc>
        <w:tc>
          <w:tcPr>
            <w:tcW w:w="0" w:type="auto"/>
            <w:tcBorders>
              <w:top w:val="nil"/>
              <w:left w:val="nil"/>
              <w:bottom w:val="nil"/>
              <w:right w:val="nil"/>
            </w:tcBorders>
            <w:tcMar>
              <w:top w:w="-1" w:type="dxa"/>
              <w:left w:w="-1" w:type="dxa"/>
              <w:bottom w:w="-1" w:type="dxa"/>
              <w:right w:w="-1" w:type="dxa"/>
            </w:tcMar>
            <w:vAlign w:val="center"/>
          </w:tcPr>
          <w:p w14:paraId="75C629E6" w14:textId="77777777" w:rsidR="00DF677B" w:rsidRDefault="009A4614">
            <w:pPr>
              <w:pStyle w:val="TableText"/>
              <w:spacing w:before="226"/>
              <w:jc w:val="center"/>
            </w:pPr>
            <w:r>
              <w:rPr>
                <w:color w:val="0F1115"/>
                <w:spacing w:val="-2"/>
              </w:rPr>
              <w:t>-0.038</w:t>
            </w:r>
          </w:p>
          <w:p w14:paraId="4E4252DE" w14:textId="77777777" w:rsidR="00DF677B" w:rsidRDefault="009A4614">
            <w:pPr>
              <w:pStyle w:val="TableText"/>
              <w:spacing w:before="64"/>
              <w:jc w:val="center"/>
            </w:pPr>
            <w:r>
              <w:rPr>
                <w:color w:val="0F1115"/>
                <w:spacing w:val="-2"/>
              </w:rPr>
              <w:t>(Preset:</w:t>
            </w:r>
          </w:p>
          <w:p w14:paraId="6171E14B" w14:textId="77777777" w:rsidR="00DF677B" w:rsidRDefault="009A4614">
            <w:pPr>
              <w:pStyle w:val="TableText"/>
              <w:spacing w:before="64"/>
              <w:jc w:val="center"/>
            </w:pPr>
            <w:r>
              <w:rPr>
                <w:color w:val="0F1115"/>
                <w:spacing w:val="-1"/>
              </w:rPr>
              <w:t>0.0953*)</w:t>
            </w:r>
          </w:p>
        </w:tc>
        <w:tc>
          <w:tcPr>
            <w:tcW w:w="0" w:type="auto"/>
            <w:tcBorders>
              <w:top w:val="nil"/>
              <w:left w:val="nil"/>
              <w:bottom w:val="nil"/>
              <w:right w:val="nil"/>
            </w:tcBorders>
            <w:tcMar>
              <w:top w:w="-1" w:type="dxa"/>
              <w:left w:w="-1" w:type="dxa"/>
              <w:bottom w:w="-1" w:type="dxa"/>
              <w:right w:w="-1" w:type="dxa"/>
            </w:tcMar>
            <w:vAlign w:val="center"/>
          </w:tcPr>
          <w:p w14:paraId="68DCE17F" w14:textId="77777777" w:rsidR="00DF677B" w:rsidRDefault="009A4614">
            <w:pPr>
              <w:pStyle w:val="TableText"/>
              <w:spacing w:before="49"/>
              <w:jc w:val="center"/>
            </w:pPr>
            <w:r>
              <w:rPr>
                <w:color w:val="0F1115"/>
                <w:spacing w:val="-4"/>
              </w:rPr>
              <w:t>18.26</w:t>
            </w:r>
          </w:p>
        </w:tc>
        <w:tc>
          <w:tcPr>
            <w:tcW w:w="0" w:type="auto"/>
            <w:tcBorders>
              <w:top w:val="nil"/>
              <w:left w:val="nil"/>
              <w:bottom w:val="nil"/>
              <w:right w:val="nil"/>
            </w:tcBorders>
            <w:tcMar>
              <w:top w:w="-1" w:type="dxa"/>
              <w:left w:w="-1" w:type="dxa"/>
              <w:bottom w:w="-1" w:type="dxa"/>
              <w:right w:w="-1" w:type="dxa"/>
            </w:tcMar>
            <w:vAlign w:val="center"/>
          </w:tcPr>
          <w:p w14:paraId="7CC3AA83" w14:textId="77777777" w:rsidR="00DF677B" w:rsidRDefault="009A4614">
            <w:pPr>
              <w:pStyle w:val="TableText"/>
              <w:spacing w:before="49"/>
              <w:jc w:val="center"/>
            </w:pPr>
            <w:r>
              <w:rPr>
                <w:color w:val="0F1115"/>
                <w:spacing w:val="-1"/>
              </w:rPr>
              <w:t>0.0010</w:t>
            </w:r>
          </w:p>
        </w:tc>
        <w:tc>
          <w:tcPr>
            <w:tcW w:w="0" w:type="auto"/>
            <w:tcBorders>
              <w:top w:val="nil"/>
              <w:left w:val="nil"/>
              <w:bottom w:val="nil"/>
              <w:right w:val="nil"/>
            </w:tcBorders>
            <w:tcMar>
              <w:top w:w="-1" w:type="dxa"/>
              <w:left w:w="-1" w:type="dxa"/>
              <w:bottom w:w="-1" w:type="dxa"/>
              <w:right w:w="-1" w:type="dxa"/>
            </w:tcMar>
            <w:vAlign w:val="center"/>
          </w:tcPr>
          <w:p w14:paraId="79715A93" w14:textId="77777777" w:rsidR="00DF677B" w:rsidRDefault="009A4614">
            <w:pPr>
              <w:pStyle w:val="TableText"/>
              <w:spacing w:before="49"/>
              <w:jc w:val="center"/>
            </w:pPr>
            <w:r>
              <w:rPr>
                <w:b/>
                <w:bCs/>
                <w:color w:val="0F1115"/>
              </w:rPr>
              <w:t>~21%</w:t>
            </w:r>
          </w:p>
        </w:tc>
        <w:tc>
          <w:tcPr>
            <w:tcW w:w="2091" w:type="dxa"/>
            <w:tcBorders>
              <w:top w:val="nil"/>
              <w:left w:val="nil"/>
              <w:bottom w:val="nil"/>
              <w:right w:val="nil"/>
            </w:tcBorders>
            <w:tcMar>
              <w:top w:w="-1" w:type="dxa"/>
              <w:left w:w="-1" w:type="dxa"/>
              <w:bottom w:w="-1" w:type="dxa"/>
              <w:right w:w="-1" w:type="dxa"/>
            </w:tcMar>
            <w:vAlign w:val="center"/>
          </w:tcPr>
          <w:p w14:paraId="0AEC63F0" w14:textId="77777777" w:rsidR="00DF677B" w:rsidRDefault="009A4614">
            <w:pPr>
              <w:pStyle w:val="TableText"/>
              <w:spacing w:before="114"/>
              <w:jc w:val="center"/>
              <w:rPr>
                <w:color w:val="0F1115"/>
              </w:rPr>
            </w:pPr>
            <w:r>
              <w:rPr>
                <w:color w:val="0F1115"/>
              </w:rPr>
              <w:t>Low power. The IVW nominal</w:t>
            </w:r>
            <w:r>
              <w:rPr>
                <w:rFonts w:hint="eastAsia"/>
                <w:color w:val="0F1115"/>
              </w:rPr>
              <w:t xml:space="preserve"> </w:t>
            </w:r>
            <w:r>
              <w:rPr>
                <w:color w:val="0F1115"/>
              </w:rPr>
              <w:t>significance (</w:t>
            </w:r>
            <w:r>
              <w:rPr>
                <w:i/>
                <w:iCs/>
                <w:color w:val="0F1115"/>
              </w:rPr>
              <w:t>P</w:t>
            </w:r>
            <w:r>
              <w:rPr>
                <w:rFonts w:hint="eastAsia"/>
                <w:color w:val="0F1115"/>
              </w:rPr>
              <w:t xml:space="preserve"> </w:t>
            </w:r>
            <w:r>
              <w:rPr>
                <w:color w:val="0F1115"/>
              </w:rPr>
              <w:t>=</w:t>
            </w:r>
            <w:r>
              <w:rPr>
                <w:rFonts w:hint="eastAsia"/>
                <w:color w:val="0F1115"/>
              </w:rPr>
              <w:t xml:space="preserve"> </w:t>
            </w:r>
            <w:r>
              <w:rPr>
                <w:color w:val="0F1115"/>
              </w:rPr>
              <w:t>0.023) is</w:t>
            </w:r>
            <w:r>
              <w:rPr>
                <w:rFonts w:hint="eastAsia"/>
                <w:color w:val="0F1115"/>
              </w:rPr>
              <w:t xml:space="preserve"> </w:t>
            </w:r>
            <w:r>
              <w:rPr>
                <w:color w:val="0F1115"/>
              </w:rPr>
              <w:t>unstable, with high risk of false</w:t>
            </w:r>
            <w:r>
              <w:rPr>
                <w:rFonts w:hint="eastAsia"/>
                <w:color w:val="0F1115"/>
              </w:rPr>
              <w:t xml:space="preserve"> </w:t>
            </w:r>
            <w:r>
              <w:rPr>
                <w:color w:val="0F1115"/>
              </w:rPr>
              <w:t>positive/negative.</w:t>
            </w:r>
          </w:p>
        </w:tc>
      </w:tr>
      <w:tr w:rsidR="00DF677B" w14:paraId="3D80F1C8" w14:textId="77777777">
        <w:trPr>
          <w:jc w:val="center"/>
        </w:trPr>
        <w:tc>
          <w:tcPr>
            <w:tcW w:w="707" w:type="dxa"/>
            <w:tcBorders>
              <w:top w:val="nil"/>
              <w:left w:val="nil"/>
              <w:bottom w:val="single" w:sz="12" w:space="0" w:color="000000"/>
              <w:right w:val="nil"/>
            </w:tcBorders>
            <w:tcMar>
              <w:top w:w="-1" w:type="dxa"/>
              <w:left w:w="-1" w:type="dxa"/>
              <w:bottom w:w="-1" w:type="dxa"/>
              <w:right w:w="-1" w:type="dxa"/>
            </w:tcMar>
            <w:vAlign w:val="center"/>
          </w:tcPr>
          <w:p w14:paraId="291D1B50" w14:textId="77777777" w:rsidR="00DF677B" w:rsidRDefault="009A4614">
            <w:pPr>
              <w:pStyle w:val="TableText"/>
              <w:spacing w:before="49"/>
              <w:jc w:val="center"/>
            </w:pPr>
            <w:r>
              <w:rPr>
                <w:b/>
                <w:bCs/>
                <w:color w:val="0F1115"/>
                <w:spacing w:val="-3"/>
              </w:rPr>
              <w:t>IDA</w:t>
            </w:r>
            <w:r>
              <w:rPr>
                <w:b/>
                <w:bCs/>
                <w:color w:val="0F1115"/>
                <w:spacing w:val="8"/>
              </w:rPr>
              <w:t xml:space="preserve"> </w:t>
            </w:r>
            <w:r>
              <w:rPr>
                <w:b/>
                <w:bCs/>
                <w:color w:val="0F1115"/>
                <w:spacing w:val="-3"/>
              </w:rPr>
              <w:t>→</w:t>
            </w:r>
            <w:r>
              <w:rPr>
                <w:b/>
                <w:bCs/>
                <w:color w:val="0F1115"/>
                <w:spacing w:val="7"/>
              </w:rPr>
              <w:t xml:space="preserve"> </w:t>
            </w:r>
            <w:r>
              <w:rPr>
                <w:b/>
                <w:bCs/>
                <w:color w:val="0F1115"/>
                <w:spacing w:val="-3"/>
              </w:rPr>
              <w:t>SLE</w:t>
            </w:r>
          </w:p>
        </w:tc>
        <w:tc>
          <w:tcPr>
            <w:tcW w:w="850" w:type="dxa"/>
            <w:tcBorders>
              <w:top w:val="nil"/>
              <w:left w:val="nil"/>
              <w:bottom w:val="single" w:sz="12" w:space="0" w:color="000000"/>
              <w:right w:val="nil"/>
            </w:tcBorders>
            <w:tcMar>
              <w:top w:w="-1" w:type="dxa"/>
              <w:left w:w="-1" w:type="dxa"/>
              <w:bottom w:w="-1" w:type="dxa"/>
              <w:right w:w="-1" w:type="dxa"/>
            </w:tcMar>
            <w:vAlign w:val="center"/>
          </w:tcPr>
          <w:p w14:paraId="5CAD9950" w14:textId="77777777" w:rsidR="00DF677B" w:rsidRDefault="009A4614">
            <w:pPr>
              <w:pStyle w:val="TableText"/>
              <w:spacing w:before="49"/>
              <w:jc w:val="center"/>
            </w:pPr>
            <w:r>
              <w:rPr>
                <w:color w:val="0F1115"/>
                <w:spacing w:val="-1"/>
              </w:rPr>
              <w:t>408,837</w:t>
            </w:r>
          </w:p>
        </w:tc>
        <w:tc>
          <w:tcPr>
            <w:tcW w:w="813" w:type="dxa"/>
            <w:tcBorders>
              <w:top w:val="nil"/>
              <w:left w:val="nil"/>
              <w:bottom w:val="single" w:sz="12" w:space="0" w:color="000000"/>
              <w:right w:val="nil"/>
            </w:tcBorders>
            <w:tcMar>
              <w:top w:w="-1" w:type="dxa"/>
              <w:left w:w="-1" w:type="dxa"/>
              <w:bottom w:w="-1" w:type="dxa"/>
              <w:right w:w="-1" w:type="dxa"/>
            </w:tcMar>
            <w:vAlign w:val="center"/>
          </w:tcPr>
          <w:p w14:paraId="0ADF7652" w14:textId="77777777" w:rsidR="00DF677B" w:rsidRDefault="009A4614">
            <w:pPr>
              <w:pStyle w:val="TableText"/>
              <w:spacing w:before="49"/>
              <w:jc w:val="center"/>
            </w:pPr>
            <w:r>
              <w:rPr>
                <w:color w:val="0F1115"/>
                <w:spacing w:val="-4"/>
              </w:rPr>
              <w:t>14,267</w:t>
            </w:r>
          </w:p>
        </w:tc>
        <w:tc>
          <w:tcPr>
            <w:tcW w:w="472" w:type="dxa"/>
            <w:tcBorders>
              <w:top w:val="nil"/>
              <w:left w:val="nil"/>
              <w:bottom w:val="single" w:sz="12" w:space="0" w:color="000000"/>
              <w:right w:val="nil"/>
            </w:tcBorders>
            <w:tcMar>
              <w:top w:w="-1" w:type="dxa"/>
              <w:left w:w="-1" w:type="dxa"/>
              <w:bottom w:w="-1" w:type="dxa"/>
              <w:right w:w="-1" w:type="dxa"/>
            </w:tcMar>
            <w:vAlign w:val="center"/>
          </w:tcPr>
          <w:p w14:paraId="39CADC9D" w14:textId="77777777" w:rsidR="00DF677B" w:rsidRDefault="009A4614">
            <w:pPr>
              <w:pStyle w:val="TableText"/>
              <w:spacing w:before="49"/>
              <w:jc w:val="center"/>
            </w:pPr>
            <w:r>
              <w:rPr>
                <w:color w:val="0F1115"/>
              </w:rPr>
              <w:t>3</w:t>
            </w:r>
          </w:p>
        </w:tc>
        <w:tc>
          <w:tcPr>
            <w:tcW w:w="602" w:type="dxa"/>
            <w:tcBorders>
              <w:top w:val="nil"/>
              <w:left w:val="nil"/>
              <w:bottom w:val="single" w:sz="12" w:space="0" w:color="000000"/>
              <w:right w:val="nil"/>
            </w:tcBorders>
            <w:tcMar>
              <w:top w:w="-1" w:type="dxa"/>
              <w:left w:w="-1" w:type="dxa"/>
              <w:bottom w:w="-1" w:type="dxa"/>
              <w:right w:w="-1" w:type="dxa"/>
            </w:tcMar>
            <w:vAlign w:val="center"/>
          </w:tcPr>
          <w:p w14:paraId="367E4F0C" w14:textId="77777777" w:rsidR="00DF677B" w:rsidRDefault="009A4614">
            <w:pPr>
              <w:pStyle w:val="TableText"/>
              <w:spacing w:before="229"/>
              <w:jc w:val="center"/>
            </w:pPr>
            <w:r>
              <w:rPr>
                <w:color w:val="0F1115"/>
                <w:spacing w:val="-1"/>
              </w:rPr>
              <w:t>0.520</w:t>
            </w:r>
          </w:p>
          <w:p w14:paraId="26AB5B4C" w14:textId="77777777" w:rsidR="00DF677B" w:rsidRDefault="009A4614">
            <w:pPr>
              <w:pStyle w:val="TableText"/>
              <w:spacing w:before="64"/>
              <w:jc w:val="center"/>
            </w:pPr>
            <w:r>
              <w:rPr>
                <w:color w:val="0F1115"/>
                <w:spacing w:val="-2"/>
              </w:rPr>
              <w:t>(Preset:</w:t>
            </w:r>
          </w:p>
          <w:p w14:paraId="16DA4795" w14:textId="77777777" w:rsidR="00DF677B" w:rsidRDefault="009A4614">
            <w:pPr>
              <w:pStyle w:val="TableText"/>
              <w:spacing w:before="64"/>
              <w:jc w:val="center"/>
            </w:pPr>
            <w:r>
              <w:rPr>
                <w:color w:val="0F1115"/>
                <w:spacing w:val="-1"/>
              </w:rPr>
              <w:t>0.0953*)</w:t>
            </w:r>
          </w:p>
        </w:tc>
        <w:tc>
          <w:tcPr>
            <w:tcW w:w="1118" w:type="dxa"/>
            <w:tcBorders>
              <w:top w:val="nil"/>
              <w:left w:val="nil"/>
              <w:bottom w:val="single" w:sz="12" w:space="0" w:color="000000"/>
              <w:right w:val="nil"/>
            </w:tcBorders>
            <w:tcMar>
              <w:top w:w="-1" w:type="dxa"/>
              <w:left w:w="-1" w:type="dxa"/>
              <w:bottom w:w="-1" w:type="dxa"/>
              <w:right w:w="-1" w:type="dxa"/>
            </w:tcMar>
            <w:vAlign w:val="center"/>
          </w:tcPr>
          <w:p w14:paraId="4EF8D1DB" w14:textId="77777777" w:rsidR="00DF677B" w:rsidRDefault="009A4614">
            <w:pPr>
              <w:pStyle w:val="TableText"/>
              <w:spacing w:before="49"/>
              <w:jc w:val="center"/>
            </w:pPr>
            <w:r>
              <w:rPr>
                <w:color w:val="0F1115"/>
                <w:spacing w:val="-2"/>
              </w:rPr>
              <w:t>60.39</w:t>
            </w:r>
          </w:p>
        </w:tc>
        <w:tc>
          <w:tcPr>
            <w:tcW w:w="663" w:type="dxa"/>
            <w:tcBorders>
              <w:top w:val="nil"/>
              <w:left w:val="nil"/>
              <w:bottom w:val="single" w:sz="12" w:space="0" w:color="000000"/>
              <w:right w:val="nil"/>
            </w:tcBorders>
            <w:tcMar>
              <w:top w:w="-1" w:type="dxa"/>
              <w:left w:w="-1" w:type="dxa"/>
              <w:bottom w:w="-1" w:type="dxa"/>
              <w:right w:w="-1" w:type="dxa"/>
            </w:tcMar>
            <w:vAlign w:val="center"/>
          </w:tcPr>
          <w:p w14:paraId="3A979746" w14:textId="77777777" w:rsidR="00DF677B" w:rsidRDefault="009A4614">
            <w:pPr>
              <w:pStyle w:val="TableText"/>
              <w:spacing w:before="49"/>
              <w:jc w:val="center"/>
            </w:pPr>
            <w:r>
              <w:rPr>
                <w:color w:val="0F1115"/>
                <w:spacing w:val="-1"/>
                <w:position w:val="1"/>
              </w:rPr>
              <w:t>2.57×10⁻⁴</w:t>
            </w:r>
          </w:p>
        </w:tc>
        <w:tc>
          <w:tcPr>
            <w:tcW w:w="983" w:type="dxa"/>
            <w:tcBorders>
              <w:top w:val="nil"/>
              <w:left w:val="nil"/>
              <w:bottom w:val="single" w:sz="12" w:space="0" w:color="000000"/>
              <w:right w:val="nil"/>
            </w:tcBorders>
            <w:tcMar>
              <w:top w:w="-1" w:type="dxa"/>
              <w:left w:w="-1" w:type="dxa"/>
              <w:bottom w:w="-1" w:type="dxa"/>
              <w:right w:w="-1" w:type="dxa"/>
            </w:tcMar>
            <w:vAlign w:val="center"/>
          </w:tcPr>
          <w:p w14:paraId="649334AA" w14:textId="77777777" w:rsidR="00DF677B" w:rsidRDefault="009A4614">
            <w:pPr>
              <w:pStyle w:val="TableText"/>
              <w:spacing w:before="49"/>
              <w:jc w:val="center"/>
            </w:pPr>
            <w:r>
              <w:rPr>
                <w:b/>
                <w:bCs/>
                <w:color w:val="0F1115"/>
                <w:spacing w:val="-1"/>
              </w:rPr>
              <w:t>~100%</w:t>
            </w:r>
          </w:p>
        </w:tc>
        <w:tc>
          <w:tcPr>
            <w:tcW w:w="2091" w:type="dxa"/>
            <w:tcBorders>
              <w:top w:val="nil"/>
              <w:left w:val="nil"/>
              <w:bottom w:val="single" w:sz="12" w:space="0" w:color="000000"/>
              <w:right w:val="nil"/>
            </w:tcBorders>
            <w:tcMar>
              <w:top w:w="-1" w:type="dxa"/>
              <w:left w:w="-1" w:type="dxa"/>
              <w:bottom w:w="-1" w:type="dxa"/>
              <w:right w:w="-1" w:type="dxa"/>
            </w:tcMar>
            <w:vAlign w:val="center"/>
          </w:tcPr>
          <w:p w14:paraId="2CF7E7B6" w14:textId="77777777" w:rsidR="00DF677B" w:rsidRDefault="009A4614">
            <w:pPr>
              <w:pStyle w:val="TableText"/>
              <w:spacing w:before="116"/>
              <w:jc w:val="center"/>
              <w:rPr>
                <w:color w:val="0F1115"/>
              </w:rPr>
            </w:pPr>
            <w:r>
              <w:rPr>
                <w:color w:val="0F1115"/>
              </w:rPr>
              <w:t>High power. The IVW</w:t>
            </w:r>
            <w:r>
              <w:rPr>
                <w:rFonts w:hint="eastAsia"/>
                <w:color w:val="0F1115"/>
              </w:rPr>
              <w:t xml:space="preserve"> </w:t>
            </w:r>
            <w:r>
              <w:rPr>
                <w:color w:val="0F1115"/>
              </w:rPr>
              <w:t>borderline significance</w:t>
            </w:r>
            <w:r>
              <w:rPr>
                <w:rFonts w:hint="eastAsia"/>
                <w:color w:val="0F1115"/>
              </w:rPr>
              <w:t xml:space="preserve"> </w:t>
            </w:r>
            <w:r>
              <w:rPr>
                <w:color w:val="0F1115"/>
              </w:rPr>
              <w:t>(</w:t>
            </w:r>
            <w:r>
              <w:rPr>
                <w:i/>
                <w:iCs/>
                <w:color w:val="0F1115"/>
              </w:rPr>
              <w:t>P</w:t>
            </w:r>
            <w:r>
              <w:rPr>
                <w:rFonts w:hint="eastAsia"/>
                <w:color w:val="0F1115"/>
              </w:rPr>
              <w:t xml:space="preserve"> </w:t>
            </w:r>
            <w:r>
              <w:rPr>
                <w:color w:val="0F1115"/>
              </w:rPr>
              <w:t>=</w:t>
            </w:r>
            <w:r>
              <w:rPr>
                <w:rFonts w:hint="eastAsia"/>
                <w:color w:val="0F1115"/>
              </w:rPr>
              <w:t xml:space="preserve"> </w:t>
            </w:r>
            <w:r>
              <w:rPr>
                <w:color w:val="0F1115"/>
              </w:rPr>
              <w:t>0.098) and inconsistency</w:t>
            </w:r>
            <w:r>
              <w:rPr>
                <w:rFonts w:hint="eastAsia"/>
                <w:color w:val="0F1115"/>
              </w:rPr>
              <w:t xml:space="preserve"> </w:t>
            </w:r>
            <w:r>
              <w:rPr>
                <w:color w:val="0F1115"/>
              </w:rPr>
              <w:t>are not due to low power</w:t>
            </w:r>
          </w:p>
        </w:tc>
      </w:tr>
    </w:tbl>
    <w:p w14:paraId="332D3542" w14:textId="477DCF6F" w:rsidR="00DF677B" w:rsidRPr="005B49C9" w:rsidRDefault="009A4614" w:rsidP="005B49C9">
      <w:pPr>
        <w:pStyle w:val="a8"/>
        <w:shd w:val="clear" w:color="auto" w:fill="FFFFFF"/>
        <w:spacing w:before="160" w:after="160"/>
        <w:jc w:val="both"/>
        <w:rPr>
          <w:rFonts w:ascii="Times New Roman" w:eastAsiaTheme="minorEastAsia" w:hAnsi="Times New Roman" w:cs="Times New Roman" w:hint="eastAsia"/>
          <w:spacing w:val="-1"/>
          <w:sz w:val="17"/>
          <w:szCs w:val="17"/>
          <w:lang w:eastAsia="zh-CN"/>
        </w:rPr>
      </w:pPr>
      <w:r w:rsidRPr="005B49C9">
        <w:rPr>
          <w:rFonts w:ascii="Times New Roman" w:eastAsia="Times New Roman" w:hAnsi="Times New Roman" w:cs="Times New Roman"/>
          <w:spacing w:val="-1"/>
          <w:sz w:val="17"/>
          <w:szCs w:val="17"/>
        </w:rPr>
        <w:t>This table presents the estimated statistical power for each bidirectional Mendelian randomization (MR) analysis based on the observed instrumental variables and effect sizes. Power calculations were performed to assess the reliability of causal estimates and to evaluate whether null findings may be attributable to insufficient statistical power.</w:t>
      </w:r>
      <w:r w:rsidRPr="005B49C9">
        <w:rPr>
          <w:rFonts w:ascii="Times New Roman" w:eastAsiaTheme="minorEastAsia" w:hAnsi="Times New Roman" w:cs="Times New Roman" w:hint="eastAsia"/>
          <w:spacing w:val="-1"/>
          <w:sz w:val="17"/>
          <w:szCs w:val="17"/>
          <w:lang w:eastAsia="zh-CN"/>
        </w:rPr>
        <w:t xml:space="preserve"> </w:t>
      </w:r>
      <w:r w:rsidRPr="005B49C9">
        <w:rPr>
          <w:rFonts w:ascii="Times New Roman" w:eastAsia="Times New Roman" w:hAnsi="Times New Roman" w:cs="Times New Roman"/>
          <w:spacing w:val="-1"/>
          <w:sz w:val="17"/>
          <w:szCs w:val="17"/>
        </w:rPr>
        <w:t>For each exposure–outcome direction, the following information is provided: sample size of the exposure GWAS (</w:t>
      </w:r>
      <w:proofErr w:type="spellStart"/>
      <w:r w:rsidRPr="005B49C9">
        <w:rPr>
          <w:rFonts w:ascii="Times New Roman" w:eastAsia="Times New Roman" w:hAnsi="Times New Roman" w:cs="Times New Roman"/>
          <w:spacing w:val="-1"/>
          <w:sz w:val="17"/>
          <w:szCs w:val="17"/>
        </w:rPr>
        <w:t>N_exposure</w:t>
      </w:r>
      <w:proofErr w:type="spellEnd"/>
      <w:r w:rsidRPr="005B49C9">
        <w:rPr>
          <w:rFonts w:ascii="Times New Roman" w:eastAsia="Times New Roman" w:hAnsi="Times New Roman" w:cs="Times New Roman"/>
          <w:spacing w:val="-1"/>
          <w:sz w:val="17"/>
          <w:szCs w:val="17"/>
        </w:rPr>
        <w:t>), sample size of the outcome GWAS (</w:t>
      </w:r>
      <w:proofErr w:type="spellStart"/>
      <w:r w:rsidRPr="005B49C9">
        <w:rPr>
          <w:rFonts w:ascii="Times New Roman" w:eastAsia="Times New Roman" w:hAnsi="Times New Roman" w:cs="Times New Roman"/>
          <w:spacing w:val="-1"/>
          <w:sz w:val="17"/>
          <w:szCs w:val="17"/>
        </w:rPr>
        <w:t>N_outcome</w:t>
      </w:r>
      <w:proofErr w:type="spellEnd"/>
      <w:r w:rsidRPr="005B49C9">
        <w:rPr>
          <w:rFonts w:ascii="Times New Roman" w:eastAsia="Times New Roman" w:hAnsi="Times New Roman" w:cs="Times New Roman"/>
          <w:spacing w:val="-1"/>
          <w:sz w:val="17"/>
          <w:szCs w:val="17"/>
        </w:rPr>
        <w:t>), number of single nucleotide polymorphisms used as instrumental variables (</w:t>
      </w:r>
      <w:proofErr w:type="spellStart"/>
      <w:r w:rsidRPr="005B49C9">
        <w:rPr>
          <w:rFonts w:ascii="Times New Roman" w:eastAsia="Times New Roman" w:hAnsi="Times New Roman" w:cs="Times New Roman"/>
          <w:spacing w:val="-1"/>
          <w:sz w:val="17"/>
          <w:szCs w:val="17"/>
        </w:rPr>
        <w:t>nSNPs</w:t>
      </w:r>
      <w:proofErr w:type="spellEnd"/>
      <w:r w:rsidRPr="005B49C9">
        <w:rPr>
          <w:rFonts w:ascii="Times New Roman" w:eastAsia="Times New Roman" w:hAnsi="Times New Roman" w:cs="Times New Roman"/>
          <w:spacing w:val="-1"/>
          <w:sz w:val="17"/>
          <w:szCs w:val="17"/>
        </w:rPr>
        <w:t>), observed beta coefficient from the inverse variance weighted (IVW) method (IVW β), mean F-statistic of the instruments, total proportion of variance in the exposure explained by the instruments (total R²), estimated statistical power at an alpha level of 0.05 (Power, α = 0.05), and a brief interpretation of the power level in the context of the corresponding MR finding.</w:t>
      </w:r>
      <w:r w:rsidRPr="005B49C9">
        <w:rPr>
          <w:rFonts w:ascii="Times New Roman" w:eastAsiaTheme="minorEastAsia" w:hAnsi="Times New Roman" w:cs="Times New Roman" w:hint="eastAsia"/>
          <w:spacing w:val="-1"/>
          <w:sz w:val="17"/>
          <w:szCs w:val="17"/>
          <w:lang w:eastAsia="zh-CN"/>
        </w:rPr>
        <w:t xml:space="preserve"> </w:t>
      </w:r>
      <w:r w:rsidRPr="005B49C9">
        <w:rPr>
          <w:rFonts w:ascii="Times New Roman" w:eastAsia="Times New Roman" w:hAnsi="Times New Roman" w:cs="Times New Roman"/>
          <w:spacing w:val="-1"/>
          <w:sz w:val="17"/>
          <w:szCs w:val="17"/>
        </w:rPr>
        <w:t>Analyses with estimated power ≥80% were considered adequately powered to detect the observed or prespecified effect size (OR = 1.10, corresponding to β = 0.0953), whereas analyses with power below 80% were considered underpowered, warranting cautious interpretation of null or nominally significant results.</w:t>
      </w:r>
      <w:r w:rsidR="005B49C9">
        <w:rPr>
          <w:rFonts w:ascii="Times New Roman" w:eastAsiaTheme="minorEastAsia" w:hAnsi="Times New Roman" w:cs="Times New Roman" w:hint="eastAsia"/>
          <w:spacing w:val="-1"/>
          <w:sz w:val="17"/>
          <w:szCs w:val="17"/>
          <w:lang w:eastAsia="zh-CN"/>
        </w:rPr>
        <w:t xml:space="preserve"> </w:t>
      </w:r>
      <w:r w:rsidR="005B49C9" w:rsidRPr="005B49C9">
        <w:rPr>
          <w:rFonts w:ascii="Times New Roman" w:eastAsiaTheme="minorEastAsia" w:hAnsi="Times New Roman" w:cs="Times New Roman"/>
          <w:spacing w:val="-1"/>
          <w:sz w:val="17"/>
          <w:szCs w:val="17"/>
          <w:lang w:eastAsia="zh-CN"/>
        </w:rPr>
        <w:t>AGC, agranulocytosis; B12DA, vitamin B12 deficiency anemia; GWAS, genome-wide association study; IDA, iron deficiency anemia; ITP, immune thrombocytopenia; MDS, myelodysplastic syndromes; SLE, systemic lupus erythematosus.</w:t>
      </w:r>
    </w:p>
    <w:p w14:paraId="6860F646" w14:textId="77777777" w:rsidR="00DF677B" w:rsidRDefault="00DF677B"/>
    <w:sectPr w:rsidR="00DF677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C193" w14:textId="77777777" w:rsidR="00EE2D16" w:rsidRDefault="00EE2D16">
      <w:r>
        <w:separator/>
      </w:r>
    </w:p>
  </w:endnote>
  <w:endnote w:type="continuationSeparator" w:id="0">
    <w:p w14:paraId="03C619B8" w14:textId="77777777" w:rsidR="00EE2D16" w:rsidRDefault="00EE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B687F" w14:textId="77777777" w:rsidR="00EE2D16" w:rsidRDefault="00EE2D16">
      <w:r>
        <w:separator/>
      </w:r>
    </w:p>
  </w:footnote>
  <w:footnote w:type="continuationSeparator" w:id="0">
    <w:p w14:paraId="76A297D2" w14:textId="77777777" w:rsidR="00EE2D16" w:rsidRDefault="00EE2D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37D"/>
    <w:rsid w:val="00157FD1"/>
    <w:rsid w:val="001D376B"/>
    <w:rsid w:val="0021785E"/>
    <w:rsid w:val="002E5820"/>
    <w:rsid w:val="00355381"/>
    <w:rsid w:val="004042B6"/>
    <w:rsid w:val="00502ACC"/>
    <w:rsid w:val="00534E1A"/>
    <w:rsid w:val="0053637D"/>
    <w:rsid w:val="005A0880"/>
    <w:rsid w:val="005B49C9"/>
    <w:rsid w:val="005F6680"/>
    <w:rsid w:val="00617388"/>
    <w:rsid w:val="0062593B"/>
    <w:rsid w:val="0077700E"/>
    <w:rsid w:val="00786C06"/>
    <w:rsid w:val="008C22F3"/>
    <w:rsid w:val="00904D8E"/>
    <w:rsid w:val="009A4614"/>
    <w:rsid w:val="00A21F38"/>
    <w:rsid w:val="00B92A1F"/>
    <w:rsid w:val="00D11F41"/>
    <w:rsid w:val="00DF677B"/>
    <w:rsid w:val="00EB6310"/>
    <w:rsid w:val="00EC67E9"/>
    <w:rsid w:val="00EE2D16"/>
    <w:rsid w:val="00F540B0"/>
    <w:rsid w:val="0CC47EE3"/>
    <w:rsid w:val="120C7C36"/>
    <w:rsid w:val="1AD81783"/>
    <w:rsid w:val="32D6285E"/>
    <w:rsid w:val="333D3C9C"/>
    <w:rsid w:val="33610977"/>
    <w:rsid w:val="428D254A"/>
    <w:rsid w:val="4C8A387B"/>
    <w:rsid w:val="4ED743ED"/>
    <w:rsid w:val="79562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480C2"/>
  <w15:docId w15:val="{8B5FD0DF-D4B3-468F-BE3F-FD856127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Times New Roman" w:eastAsia="Times New Roman" w:hAnsi="Times New Roman" w:cs="Times New Roman"/>
      <w:sz w:val="19"/>
      <w:szCs w:val="19"/>
    </w:rPr>
  </w:style>
  <w:style w:type="paragraph" w:styleId="a4">
    <w:name w:val="footer"/>
    <w:basedOn w:val="a"/>
    <w:link w:val="a5"/>
    <w:qFormat/>
    <w:pPr>
      <w:tabs>
        <w:tab w:val="center" w:pos="4153"/>
        <w:tab w:val="right" w:pos="8306"/>
      </w:tabs>
    </w:pPr>
    <w:rPr>
      <w:sz w:val="18"/>
      <w:szCs w:val="18"/>
    </w:rPr>
  </w:style>
  <w:style w:type="paragraph" w:styleId="a6">
    <w:name w:val="header"/>
    <w:basedOn w:val="a"/>
    <w:link w:val="a7"/>
    <w:qFormat/>
    <w:pPr>
      <w:tabs>
        <w:tab w:val="center" w:pos="4153"/>
        <w:tab w:val="right" w:pos="8306"/>
      </w:tabs>
      <w:jc w:val="center"/>
    </w:pPr>
    <w:rPr>
      <w:sz w:val="18"/>
      <w:szCs w:val="18"/>
    </w:rPr>
  </w:style>
  <w:style w:type="paragraph" w:styleId="a8">
    <w:name w:val="Normal (Web)"/>
    <w:basedOn w:val="a"/>
    <w:qFormat/>
    <w:rPr>
      <w:sz w:val="24"/>
    </w:rPr>
  </w:style>
  <w:style w:type="character" w:styleId="a9">
    <w:name w:val="Strong"/>
    <w:basedOn w:val="a0"/>
    <w:qFormat/>
    <w:rPr>
      <w:b/>
    </w:rPr>
  </w:style>
  <w:style w:type="paragraph" w:customStyle="1" w:styleId="TableText">
    <w:name w:val="Table Text"/>
    <w:basedOn w:val="a"/>
    <w:semiHidden/>
    <w:qFormat/>
    <w:rPr>
      <w:rFonts w:ascii="Times New Roman" w:eastAsia="Times New Roman" w:hAnsi="Times New Roman" w:cs="Times New Roman"/>
      <w:sz w:val="17"/>
      <w:szCs w:val="17"/>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a7">
    <w:name w:val="页眉 字符"/>
    <w:basedOn w:val="a0"/>
    <w:link w:val="a6"/>
    <w:qFormat/>
    <w:rPr>
      <w:rFonts w:ascii="Arial" w:eastAsia="Arial" w:hAnsi="Arial" w:cs="Arial"/>
      <w:snapToGrid w:val="0"/>
      <w:color w:val="000000"/>
      <w:sz w:val="18"/>
      <w:szCs w:val="18"/>
      <w:lang w:eastAsia="en-US"/>
    </w:rPr>
  </w:style>
  <w:style w:type="character" w:customStyle="1" w:styleId="a5">
    <w:name w:val="页脚 字符"/>
    <w:basedOn w:val="a0"/>
    <w:link w:val="a4"/>
    <w:qFormat/>
    <w:rPr>
      <w:rFonts w:ascii="Arial" w:eastAsia="Arial" w:hAnsi="Arial" w:cs="Arial"/>
      <w:snapToGrid w:val="0"/>
      <w:color w:val="000000"/>
      <w:sz w:val="18"/>
      <w:szCs w:val="18"/>
      <w:lang w:eastAsia="en-US"/>
    </w:rPr>
  </w:style>
  <w:style w:type="paragraph" w:customStyle="1" w:styleId="1">
    <w:name w:val="修订1"/>
    <w:hidden/>
    <w:uiPriority w:val="99"/>
    <w:unhideWhenUsed/>
    <w:qFormat/>
    <w:rPr>
      <w:rFonts w:ascii="Arial" w:eastAsia="Arial" w:hAnsi="Arial" w:cs="Arial"/>
      <w:snapToGrid w:val="0"/>
      <w:color w:val="000000"/>
      <w:sz w:val="21"/>
      <w:szCs w:val="21"/>
      <w:lang w:eastAsia="en-US"/>
    </w:rPr>
  </w:style>
  <w:style w:type="paragraph" w:styleId="aa">
    <w:name w:val="Revision"/>
    <w:hidden/>
    <w:uiPriority w:val="99"/>
    <w:unhideWhenUsed/>
    <w:rsid w:val="005A0880"/>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yangyang</dc:creator>
  <cp:lastModifiedBy>Editor</cp:lastModifiedBy>
  <cp:revision>8</cp:revision>
  <dcterms:created xsi:type="dcterms:W3CDTF">2026-04-26T02:37:00Z</dcterms:created>
  <dcterms:modified xsi:type="dcterms:W3CDTF">2026-07-17T03:11:00Z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eyJoZGlkIjoiOThjZjI1MjI5ZmY3N2Y2M2Y4MjhlOGFlMjg4YTZmNTYiLCJ1c2VySWQiOiI0NTI4MjExMTMifQ==</vt:lpwstr>
  </property>
  <property fmtid="{D5CDD505-2E9C-101B-9397-08002B2CF9AE}" pid="4" name="ICV">
    <vt:lpwstr>104076D43FAF4C659D75F213B39E82FE_12</vt:lpwstr>
  </property>
</Properties>
</file>