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1722C" w14:textId="32395C88" w:rsidR="00196FE8" w:rsidRDefault="00D97C78" w:rsidP="00310594">
      <w:pPr>
        <w:pStyle w:val="a3"/>
        <w:spacing w:before="35" w:line="195" w:lineRule="auto"/>
        <w:rPr>
          <w:rFonts w:eastAsiaTheme="minorEastAsia"/>
          <w:b/>
          <w:bCs/>
          <w:color w:val="0F1115"/>
          <w:spacing w:val="2"/>
          <w:lang w:eastAsia="zh-CN"/>
        </w:rPr>
      </w:pPr>
      <w:r>
        <w:rPr>
          <w:b/>
          <w:bCs/>
          <w:color w:val="0F1115"/>
          <w:spacing w:val="3"/>
        </w:rPr>
        <w:t xml:space="preserve">Supplementary Table </w:t>
      </w:r>
      <w:r w:rsidR="0049383F">
        <w:rPr>
          <w:rFonts w:eastAsiaTheme="minorEastAsia" w:hint="eastAsia"/>
          <w:b/>
          <w:bCs/>
          <w:color w:val="0F1115"/>
          <w:spacing w:val="3"/>
          <w:lang w:eastAsia="zh-CN"/>
        </w:rPr>
        <w:t>2</w:t>
      </w:r>
      <w:r>
        <w:rPr>
          <w:rFonts w:eastAsia="宋体" w:hint="eastAsia"/>
          <w:b/>
          <w:bCs/>
          <w:color w:val="0F1115"/>
          <w:spacing w:val="3"/>
          <w:lang w:eastAsia="zh-CN"/>
        </w:rPr>
        <w:t>.</w:t>
      </w:r>
      <w:r>
        <w:rPr>
          <w:b/>
          <w:bCs/>
          <w:color w:val="0F1115"/>
          <w:spacing w:val="3"/>
        </w:rPr>
        <w:t xml:space="preserve"> List of excluded</w:t>
      </w:r>
      <w:r>
        <w:rPr>
          <w:b/>
          <w:bCs/>
          <w:color w:val="0F1115"/>
          <w:spacing w:val="14"/>
          <w:w w:val="102"/>
        </w:rPr>
        <w:t xml:space="preserve"> </w:t>
      </w:r>
      <w:r>
        <w:rPr>
          <w:b/>
          <w:bCs/>
          <w:color w:val="0F1115"/>
          <w:spacing w:val="3"/>
        </w:rPr>
        <w:t xml:space="preserve">SNPs </w:t>
      </w:r>
      <w:r>
        <w:rPr>
          <w:b/>
          <w:bCs/>
          <w:color w:val="0F1115"/>
          <w:spacing w:val="2"/>
        </w:rPr>
        <w:t>due to</w:t>
      </w:r>
      <w:r>
        <w:rPr>
          <w:b/>
          <w:bCs/>
          <w:color w:val="0F1115"/>
          <w:spacing w:val="3"/>
        </w:rPr>
        <w:t xml:space="preserve"> potential confou</w:t>
      </w:r>
      <w:r>
        <w:rPr>
          <w:b/>
          <w:bCs/>
          <w:color w:val="0F1115"/>
          <w:spacing w:val="2"/>
        </w:rPr>
        <w:t>nding</w:t>
      </w:r>
      <w:r>
        <w:t xml:space="preserve"> </w:t>
      </w:r>
      <w:r>
        <w:rPr>
          <w:b/>
          <w:bCs/>
          <w:color w:val="0F1115"/>
          <w:spacing w:val="2"/>
        </w:rPr>
        <w:t>or horizontal pleiotropy</w:t>
      </w:r>
    </w:p>
    <w:tbl>
      <w:tblPr>
        <w:tblStyle w:val="TableNormal"/>
        <w:tblW w:w="8306" w:type="dxa"/>
        <w:jc w:val="center"/>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1505"/>
        <w:gridCol w:w="877"/>
        <w:gridCol w:w="552"/>
        <w:gridCol w:w="1590"/>
        <w:gridCol w:w="3782"/>
      </w:tblGrid>
      <w:tr w:rsidR="00196FE8" w14:paraId="75866DA4" w14:textId="77777777">
        <w:trPr>
          <w:tblHeader/>
          <w:jc w:val="center"/>
        </w:trPr>
        <w:tc>
          <w:tcPr>
            <w:tcW w:w="0" w:type="auto"/>
            <w:tcBorders>
              <w:top w:val="single" w:sz="12" w:space="0" w:color="000000"/>
              <w:left w:val="nil"/>
              <w:bottom w:val="nil"/>
              <w:right w:val="nil"/>
            </w:tcBorders>
            <w:tcMar>
              <w:top w:w="-1" w:type="dxa"/>
              <w:left w:w="-1" w:type="dxa"/>
              <w:bottom w:w="-1" w:type="dxa"/>
              <w:right w:w="-1" w:type="dxa"/>
            </w:tcMar>
            <w:vAlign w:val="center"/>
          </w:tcPr>
          <w:p w14:paraId="0F45F155" w14:textId="77777777" w:rsidR="00196FE8" w:rsidRDefault="00D97C78">
            <w:pPr>
              <w:pStyle w:val="TableText"/>
              <w:spacing w:before="114"/>
              <w:jc w:val="center"/>
              <w:rPr>
                <w:b/>
              </w:rPr>
            </w:pPr>
            <w:r>
              <w:rPr>
                <w:b/>
                <w:bCs/>
                <w:color w:val="0F1115"/>
                <w:spacing w:val="-1"/>
              </w:rPr>
              <w:lastRenderedPageBreak/>
              <w:t>Exposure→Outcome</w:t>
            </w:r>
          </w:p>
        </w:tc>
        <w:tc>
          <w:tcPr>
            <w:tcW w:w="0" w:type="auto"/>
            <w:tcBorders>
              <w:top w:val="single" w:sz="12" w:space="0" w:color="000000"/>
              <w:left w:val="nil"/>
              <w:bottom w:val="nil"/>
              <w:right w:val="nil"/>
            </w:tcBorders>
            <w:tcMar>
              <w:top w:w="-1" w:type="dxa"/>
              <w:left w:w="-1" w:type="dxa"/>
              <w:bottom w:w="-1" w:type="dxa"/>
              <w:right w:w="-1" w:type="dxa"/>
            </w:tcMar>
            <w:vAlign w:val="center"/>
          </w:tcPr>
          <w:p w14:paraId="0947FA36" w14:textId="77777777" w:rsidR="00196FE8" w:rsidRDefault="00D97C78">
            <w:pPr>
              <w:pStyle w:val="TableText"/>
              <w:spacing w:before="114"/>
              <w:jc w:val="center"/>
              <w:rPr>
                <w:b/>
              </w:rPr>
            </w:pPr>
            <w:r>
              <w:rPr>
                <w:b/>
                <w:bCs/>
                <w:color w:val="0F1115"/>
                <w:spacing w:val="-2"/>
              </w:rPr>
              <w:t>SNP ID</w:t>
            </w:r>
          </w:p>
        </w:tc>
        <w:tc>
          <w:tcPr>
            <w:tcW w:w="0" w:type="auto"/>
            <w:tcBorders>
              <w:top w:val="single" w:sz="12" w:space="0" w:color="000000"/>
              <w:left w:val="nil"/>
              <w:bottom w:val="nil"/>
              <w:right w:val="nil"/>
            </w:tcBorders>
            <w:tcMar>
              <w:top w:w="-1" w:type="dxa"/>
              <w:left w:w="-1" w:type="dxa"/>
              <w:bottom w:w="-1" w:type="dxa"/>
              <w:right w:w="-1" w:type="dxa"/>
            </w:tcMar>
            <w:vAlign w:val="center"/>
          </w:tcPr>
          <w:p w14:paraId="2956A32A" w14:textId="77777777" w:rsidR="00196FE8" w:rsidRDefault="00D97C78">
            <w:pPr>
              <w:pStyle w:val="TableText"/>
              <w:spacing w:before="117"/>
              <w:jc w:val="center"/>
              <w:rPr>
                <w:b/>
              </w:rPr>
            </w:pPr>
            <w:r>
              <w:rPr>
                <w:b/>
                <w:bCs/>
                <w:i/>
                <w:iCs/>
                <w:color w:val="0F1115"/>
                <w:spacing w:val="2"/>
              </w:rPr>
              <w:t>P</w:t>
            </w:r>
            <w:r>
              <w:rPr>
                <w:b/>
                <w:bCs/>
                <w:color w:val="0F1115"/>
                <w:spacing w:val="2"/>
              </w:rPr>
              <w:t>-</w:t>
            </w:r>
            <w:r>
              <w:rPr>
                <w:b/>
                <w:bCs/>
                <w:color w:val="0F1115"/>
              </w:rPr>
              <w:t>value</w:t>
            </w:r>
          </w:p>
        </w:tc>
        <w:tc>
          <w:tcPr>
            <w:tcW w:w="0" w:type="auto"/>
            <w:tcBorders>
              <w:top w:val="single" w:sz="12" w:space="0" w:color="000000"/>
              <w:left w:val="nil"/>
              <w:bottom w:val="nil"/>
              <w:right w:val="nil"/>
            </w:tcBorders>
            <w:tcMar>
              <w:top w:w="-1" w:type="dxa"/>
              <w:left w:w="-1" w:type="dxa"/>
              <w:bottom w:w="-1" w:type="dxa"/>
              <w:right w:w="-1" w:type="dxa"/>
            </w:tcMar>
            <w:vAlign w:val="center"/>
          </w:tcPr>
          <w:p w14:paraId="7BBE48E9" w14:textId="77777777" w:rsidR="00196FE8" w:rsidRDefault="00D97C78">
            <w:pPr>
              <w:pStyle w:val="TableText"/>
              <w:spacing w:before="114"/>
              <w:jc w:val="center"/>
              <w:rPr>
                <w:b/>
              </w:rPr>
            </w:pPr>
            <w:r>
              <w:rPr>
                <w:b/>
                <w:bCs/>
                <w:color w:val="0F1115"/>
                <w:spacing w:val="-1"/>
              </w:rPr>
              <w:t>Associated Trait</w:t>
            </w:r>
          </w:p>
        </w:tc>
        <w:tc>
          <w:tcPr>
            <w:tcW w:w="3782" w:type="dxa"/>
            <w:tcBorders>
              <w:top w:val="single" w:sz="12" w:space="0" w:color="000000"/>
              <w:left w:val="nil"/>
              <w:bottom w:val="nil"/>
              <w:right w:val="nil"/>
            </w:tcBorders>
            <w:tcMar>
              <w:top w:w="-1" w:type="dxa"/>
              <w:left w:w="-1" w:type="dxa"/>
              <w:bottom w:w="-1" w:type="dxa"/>
              <w:right w:w="-1" w:type="dxa"/>
            </w:tcMar>
            <w:vAlign w:val="center"/>
          </w:tcPr>
          <w:p w14:paraId="4E001DDC" w14:textId="3141A8D9" w:rsidR="00196FE8" w:rsidRDefault="00D97C78">
            <w:pPr>
              <w:pStyle w:val="TableText"/>
              <w:spacing w:before="114"/>
              <w:jc w:val="center"/>
              <w:rPr>
                <w:b/>
              </w:rPr>
            </w:pPr>
            <w:r>
              <w:rPr>
                <w:b/>
                <w:bCs/>
                <w:color w:val="0F1115"/>
                <w:spacing w:val="-1"/>
              </w:rPr>
              <w:t xml:space="preserve">Reason for </w:t>
            </w:r>
            <w:r w:rsidR="0049383F">
              <w:rPr>
                <w:rFonts w:eastAsiaTheme="minorEastAsia" w:hint="eastAsia"/>
                <w:b/>
                <w:bCs/>
                <w:color w:val="0F1115"/>
                <w:spacing w:val="-1"/>
                <w:lang w:eastAsia="zh-CN"/>
              </w:rPr>
              <w:t>e</w:t>
            </w:r>
            <w:r>
              <w:rPr>
                <w:b/>
                <w:bCs/>
                <w:color w:val="0F1115"/>
                <w:spacing w:val="-1"/>
              </w:rPr>
              <w:t>xclusion</w:t>
            </w:r>
          </w:p>
        </w:tc>
      </w:tr>
      <w:tr w:rsidR="00196FE8" w14:paraId="5085166C" w14:textId="77777777">
        <w:trPr>
          <w:tblHeader/>
          <w:jc w:val="center"/>
        </w:trPr>
        <w:tc>
          <w:tcPr>
            <w:tcW w:w="0" w:type="auto"/>
            <w:tcBorders>
              <w:top w:val="single" w:sz="4" w:space="0" w:color="000000"/>
              <w:left w:val="nil"/>
              <w:bottom w:val="nil"/>
              <w:right w:val="nil"/>
            </w:tcBorders>
            <w:tcMar>
              <w:top w:w="-1" w:type="dxa"/>
              <w:left w:w="-1" w:type="dxa"/>
              <w:bottom w:w="-1" w:type="dxa"/>
              <w:right w:w="-1" w:type="dxa"/>
            </w:tcMar>
            <w:vAlign w:val="center"/>
          </w:tcPr>
          <w:p w14:paraId="41291BEC" w14:textId="77777777" w:rsidR="00196FE8" w:rsidRDefault="00D97C78">
            <w:pPr>
              <w:pStyle w:val="TableText"/>
              <w:spacing w:before="48"/>
              <w:jc w:val="center"/>
            </w:pPr>
            <w:r>
              <w:rPr>
                <w:color w:val="0F1115"/>
                <w:spacing w:val="-3"/>
              </w:rPr>
              <w:t>SLE</w:t>
            </w:r>
            <w:r>
              <w:rPr>
                <w:color w:val="0F1115"/>
                <w:spacing w:val="10"/>
              </w:rPr>
              <w:t xml:space="preserve"> </w:t>
            </w:r>
            <w:r>
              <w:rPr>
                <w:color w:val="0F1115"/>
                <w:spacing w:val="-3"/>
              </w:rPr>
              <w:t>→ ITP</w:t>
            </w:r>
          </w:p>
        </w:tc>
        <w:tc>
          <w:tcPr>
            <w:tcW w:w="0" w:type="auto"/>
            <w:tcBorders>
              <w:top w:val="single" w:sz="4" w:space="0" w:color="000000"/>
              <w:left w:val="nil"/>
              <w:bottom w:val="nil"/>
              <w:right w:val="nil"/>
            </w:tcBorders>
            <w:tcMar>
              <w:top w:w="-1" w:type="dxa"/>
              <w:left w:w="-1" w:type="dxa"/>
              <w:bottom w:w="-1" w:type="dxa"/>
              <w:right w:w="-1" w:type="dxa"/>
            </w:tcMar>
            <w:vAlign w:val="center"/>
          </w:tcPr>
          <w:p w14:paraId="61210393" w14:textId="77777777" w:rsidR="00196FE8" w:rsidRDefault="00D97C78">
            <w:pPr>
              <w:pStyle w:val="TableText"/>
              <w:spacing w:before="48"/>
              <w:jc w:val="center"/>
            </w:pPr>
            <w:r>
              <w:rPr>
                <w:color w:val="0F1115"/>
              </w:rPr>
              <w:t>rs13193993</w:t>
            </w:r>
          </w:p>
        </w:tc>
        <w:tc>
          <w:tcPr>
            <w:tcW w:w="0" w:type="auto"/>
            <w:tcBorders>
              <w:top w:val="single" w:sz="4" w:space="0" w:color="000000"/>
              <w:left w:val="nil"/>
              <w:bottom w:val="nil"/>
              <w:right w:val="nil"/>
            </w:tcBorders>
            <w:tcMar>
              <w:top w:w="-1" w:type="dxa"/>
              <w:left w:w="-1" w:type="dxa"/>
              <w:bottom w:w="-1" w:type="dxa"/>
              <w:right w:w="-1" w:type="dxa"/>
            </w:tcMar>
            <w:vAlign w:val="center"/>
          </w:tcPr>
          <w:p w14:paraId="4A930C3F" w14:textId="77777777" w:rsidR="00196FE8" w:rsidRDefault="00D97C78">
            <w:pPr>
              <w:pStyle w:val="TableText"/>
              <w:spacing w:before="242"/>
              <w:jc w:val="center"/>
            </w:pPr>
            <w:r>
              <w:rPr>
                <w:color w:val="0F1115"/>
                <w:spacing w:val="-2"/>
                <w:position w:val="1"/>
              </w:rPr>
              <w:t>3×10⁻⁶</w:t>
            </w:r>
          </w:p>
        </w:tc>
        <w:tc>
          <w:tcPr>
            <w:tcW w:w="0" w:type="auto"/>
            <w:tcBorders>
              <w:top w:val="single" w:sz="4" w:space="0" w:color="000000"/>
              <w:left w:val="nil"/>
              <w:bottom w:val="nil"/>
              <w:right w:val="nil"/>
            </w:tcBorders>
            <w:tcMar>
              <w:top w:w="-1" w:type="dxa"/>
              <w:left w:w="-1" w:type="dxa"/>
              <w:bottom w:w="-1" w:type="dxa"/>
              <w:right w:w="-1" w:type="dxa"/>
            </w:tcMar>
            <w:vAlign w:val="center"/>
          </w:tcPr>
          <w:p w14:paraId="0649B1AB" w14:textId="77777777" w:rsidR="00196FE8" w:rsidRDefault="00D97C78">
            <w:pPr>
              <w:pStyle w:val="TableText"/>
              <w:spacing w:before="105"/>
              <w:jc w:val="center"/>
            </w:pPr>
            <w:r>
              <w:rPr>
                <w:color w:val="0F1115"/>
                <w:spacing w:val="-1"/>
              </w:rPr>
              <w:t>Other autoimmune</w:t>
            </w:r>
          </w:p>
          <w:p w14:paraId="5431AC5C" w14:textId="77777777" w:rsidR="00196FE8" w:rsidRDefault="00D97C78">
            <w:pPr>
              <w:pStyle w:val="TableText"/>
              <w:spacing w:before="37"/>
              <w:jc w:val="center"/>
            </w:pPr>
            <w:r>
              <w:rPr>
                <w:color w:val="0F1115"/>
                <w:spacing w:val="-1"/>
              </w:rPr>
              <w:t>diseases (e.g.,</w:t>
            </w:r>
            <w:r>
              <w:rPr>
                <w:color w:val="0F1115"/>
                <w:spacing w:val="12"/>
              </w:rPr>
              <w:t xml:space="preserve"> </w:t>
            </w:r>
            <w:r>
              <w:rPr>
                <w:color w:val="0F1115"/>
                <w:spacing w:val="-1"/>
              </w:rPr>
              <w:t>Sjögren</w:t>
            </w:r>
            <w:r>
              <w:rPr>
                <w:rFonts w:eastAsiaTheme="minorEastAsia"/>
                <w:color w:val="0F1115"/>
                <w:spacing w:val="-1"/>
                <w:lang w:eastAsia="zh-CN"/>
              </w:rPr>
              <w:t>’</w:t>
            </w:r>
            <w:r>
              <w:rPr>
                <w:color w:val="0F1115"/>
                <w:spacing w:val="-1"/>
              </w:rPr>
              <w:t>s</w:t>
            </w:r>
          </w:p>
          <w:p w14:paraId="10AE2AF4" w14:textId="77777777" w:rsidR="00196FE8" w:rsidRDefault="00D97C78">
            <w:pPr>
              <w:pStyle w:val="TableText"/>
              <w:spacing w:before="38"/>
              <w:jc w:val="center"/>
            </w:pPr>
            <w:r>
              <w:rPr>
                <w:color w:val="0F1115"/>
                <w:spacing w:val="-2"/>
              </w:rPr>
              <w:t>syndrome)</w:t>
            </w:r>
          </w:p>
        </w:tc>
        <w:tc>
          <w:tcPr>
            <w:tcW w:w="3782" w:type="dxa"/>
            <w:tcBorders>
              <w:top w:val="single" w:sz="4" w:space="0" w:color="000000"/>
              <w:left w:val="nil"/>
              <w:bottom w:val="nil"/>
              <w:right w:val="nil"/>
            </w:tcBorders>
            <w:tcMar>
              <w:top w:w="-1" w:type="dxa"/>
              <w:left w:w="-1" w:type="dxa"/>
              <w:bottom w:w="-1" w:type="dxa"/>
              <w:right w:w="-1" w:type="dxa"/>
            </w:tcMar>
            <w:vAlign w:val="center"/>
          </w:tcPr>
          <w:p w14:paraId="04B28AD7" w14:textId="77777777" w:rsidR="00196FE8" w:rsidRDefault="00D97C78">
            <w:pPr>
              <w:pStyle w:val="TableText"/>
              <w:spacing w:before="200"/>
              <w:jc w:val="center"/>
              <w:rPr>
                <w:lang w:eastAsia="zh-CN"/>
              </w:rPr>
            </w:pPr>
            <w:r>
              <w:rPr>
                <w:color w:val="0F1115"/>
                <w:spacing w:val="-1"/>
              </w:rPr>
              <w:t>Acts as a risk factor for</w:t>
            </w:r>
            <w:r>
              <w:rPr>
                <w:color w:val="0F1115"/>
                <w:spacing w:val="26"/>
                <w:w w:val="101"/>
              </w:rPr>
              <w:t xml:space="preserve"> </w:t>
            </w:r>
            <w:r>
              <w:rPr>
                <w:color w:val="0F1115"/>
                <w:spacing w:val="-1"/>
              </w:rPr>
              <w:t>SLE</w:t>
            </w:r>
            <w:r>
              <w:rPr>
                <w:color w:val="0F1115"/>
                <w:spacing w:val="6"/>
              </w:rPr>
              <w:t xml:space="preserve"> </w:t>
            </w:r>
            <w:r>
              <w:rPr>
                <w:color w:val="0F1115"/>
                <w:spacing w:val="-1"/>
              </w:rPr>
              <w:t>and may</w:t>
            </w:r>
            <w:r>
              <w:rPr>
                <w:color w:val="0F1115"/>
                <w:spacing w:val="7"/>
              </w:rPr>
              <w:t xml:space="preserve"> </w:t>
            </w:r>
            <w:r>
              <w:rPr>
                <w:color w:val="0F1115"/>
                <w:spacing w:val="-1"/>
              </w:rPr>
              <w:t>independently</w:t>
            </w:r>
            <w:r>
              <w:rPr>
                <w:color w:val="0F1115"/>
              </w:rPr>
              <w:t xml:space="preserve"> influence ITP risk, constituting</w:t>
            </w:r>
            <w:r>
              <w:rPr>
                <w:color w:val="0F1115"/>
                <w:spacing w:val="-1"/>
              </w:rPr>
              <w:t xml:space="preserve"> confounding</w:t>
            </w:r>
          </w:p>
        </w:tc>
      </w:tr>
      <w:tr w:rsidR="00196FE8" w14:paraId="44C4FA8E" w14:textId="77777777">
        <w:trPr>
          <w:tblHeader/>
          <w:jc w:val="center"/>
        </w:trPr>
        <w:tc>
          <w:tcPr>
            <w:tcW w:w="0" w:type="auto"/>
            <w:tcBorders>
              <w:top w:val="nil"/>
              <w:left w:val="nil"/>
              <w:bottom w:val="nil"/>
              <w:right w:val="nil"/>
            </w:tcBorders>
            <w:tcMar>
              <w:top w:w="-1" w:type="dxa"/>
              <w:left w:w="-1" w:type="dxa"/>
              <w:bottom w:w="-1" w:type="dxa"/>
              <w:right w:w="-1" w:type="dxa"/>
            </w:tcMar>
            <w:vAlign w:val="center"/>
          </w:tcPr>
          <w:p w14:paraId="1CBA0F8B" w14:textId="77777777" w:rsidR="00196FE8" w:rsidRDefault="00D97C78">
            <w:pPr>
              <w:pStyle w:val="TableText"/>
              <w:spacing w:before="288"/>
              <w:jc w:val="center"/>
            </w:pPr>
            <w:r>
              <w:rPr>
                <w:color w:val="0F1115"/>
                <w:spacing w:val="-3"/>
              </w:rPr>
              <w:t>SLE</w:t>
            </w:r>
            <w:r>
              <w:rPr>
                <w:color w:val="0F1115"/>
                <w:spacing w:val="10"/>
              </w:rPr>
              <w:t xml:space="preserve"> </w:t>
            </w:r>
            <w:r>
              <w:rPr>
                <w:color w:val="0F1115"/>
                <w:spacing w:val="-3"/>
              </w:rPr>
              <w:t>→ ITP</w:t>
            </w:r>
          </w:p>
        </w:tc>
        <w:tc>
          <w:tcPr>
            <w:tcW w:w="0" w:type="auto"/>
            <w:tcBorders>
              <w:top w:val="nil"/>
              <w:left w:val="nil"/>
              <w:bottom w:val="nil"/>
              <w:right w:val="nil"/>
            </w:tcBorders>
            <w:tcMar>
              <w:top w:w="-1" w:type="dxa"/>
              <w:left w:w="-1" w:type="dxa"/>
              <w:bottom w:w="-1" w:type="dxa"/>
              <w:right w:w="-1" w:type="dxa"/>
            </w:tcMar>
            <w:vAlign w:val="center"/>
          </w:tcPr>
          <w:p w14:paraId="28F306F6" w14:textId="77777777" w:rsidR="00196FE8" w:rsidRDefault="00D97C78">
            <w:pPr>
              <w:pStyle w:val="TableText"/>
              <w:spacing w:before="288"/>
              <w:jc w:val="center"/>
            </w:pPr>
            <w:r>
              <w:rPr>
                <w:color w:val="0F1115"/>
              </w:rPr>
              <w:t>rs6658353</w:t>
            </w:r>
          </w:p>
        </w:tc>
        <w:tc>
          <w:tcPr>
            <w:tcW w:w="0" w:type="auto"/>
            <w:tcBorders>
              <w:top w:val="nil"/>
              <w:left w:val="nil"/>
              <w:bottom w:val="nil"/>
              <w:right w:val="nil"/>
            </w:tcBorders>
            <w:tcMar>
              <w:top w:w="-1" w:type="dxa"/>
              <w:left w:w="-1" w:type="dxa"/>
              <w:bottom w:w="-1" w:type="dxa"/>
              <w:right w:w="-1" w:type="dxa"/>
            </w:tcMar>
            <w:vAlign w:val="center"/>
          </w:tcPr>
          <w:p w14:paraId="0E5EDF71" w14:textId="77777777" w:rsidR="00196FE8" w:rsidRDefault="00D97C78">
            <w:pPr>
              <w:pStyle w:val="TableText"/>
              <w:spacing w:before="228"/>
              <w:jc w:val="center"/>
            </w:pPr>
            <w:r>
              <w:rPr>
                <w:color w:val="0F1115"/>
                <w:spacing w:val="-1"/>
                <w:position w:val="1"/>
              </w:rPr>
              <w:t>2×10⁻²³</w:t>
            </w:r>
          </w:p>
        </w:tc>
        <w:tc>
          <w:tcPr>
            <w:tcW w:w="0" w:type="auto"/>
            <w:tcBorders>
              <w:top w:val="nil"/>
              <w:left w:val="nil"/>
              <w:bottom w:val="nil"/>
              <w:right w:val="nil"/>
            </w:tcBorders>
            <w:tcMar>
              <w:top w:w="-1" w:type="dxa"/>
              <w:left w:w="-1" w:type="dxa"/>
              <w:bottom w:w="-1" w:type="dxa"/>
              <w:right w:w="-1" w:type="dxa"/>
            </w:tcMar>
            <w:vAlign w:val="center"/>
          </w:tcPr>
          <w:p w14:paraId="68AE9DE2" w14:textId="77777777" w:rsidR="00196FE8" w:rsidRDefault="00D97C78">
            <w:pPr>
              <w:pStyle w:val="TableText"/>
              <w:spacing w:before="286"/>
              <w:jc w:val="center"/>
            </w:pPr>
            <w:r>
              <w:rPr>
                <w:color w:val="0F1115"/>
                <w:spacing w:val="-1"/>
              </w:rPr>
              <w:t>Interferon-related traits</w:t>
            </w:r>
          </w:p>
        </w:tc>
        <w:tc>
          <w:tcPr>
            <w:tcW w:w="3782" w:type="dxa"/>
            <w:tcBorders>
              <w:top w:val="nil"/>
              <w:left w:val="nil"/>
              <w:bottom w:val="nil"/>
              <w:right w:val="nil"/>
            </w:tcBorders>
            <w:tcMar>
              <w:top w:w="-1" w:type="dxa"/>
              <w:left w:w="-1" w:type="dxa"/>
              <w:bottom w:w="-1" w:type="dxa"/>
              <w:right w:w="-1" w:type="dxa"/>
            </w:tcMar>
            <w:vAlign w:val="center"/>
          </w:tcPr>
          <w:p w14:paraId="29D3FE06" w14:textId="77777777" w:rsidR="00196FE8" w:rsidRDefault="00D97C78">
            <w:pPr>
              <w:pStyle w:val="TableText"/>
              <w:spacing w:before="91"/>
              <w:jc w:val="center"/>
              <w:rPr>
                <w:lang w:eastAsia="zh-CN"/>
              </w:rPr>
            </w:pPr>
            <w:r>
              <w:rPr>
                <w:color w:val="0F1115"/>
              </w:rPr>
              <w:t>Acts as a risk factor for SLE</w:t>
            </w:r>
            <w:r>
              <w:rPr>
                <w:color w:val="0F1115"/>
                <w:spacing w:val="-1"/>
              </w:rPr>
              <w:t>;</w:t>
            </w:r>
            <w:r>
              <w:rPr>
                <w:color w:val="0F1115"/>
                <w:spacing w:val="3"/>
              </w:rPr>
              <w:t xml:space="preserve"> </w:t>
            </w:r>
            <w:r>
              <w:rPr>
                <w:color w:val="0F1115"/>
                <w:spacing w:val="-1"/>
              </w:rPr>
              <w:t>these</w:t>
            </w:r>
            <w:r>
              <w:rPr>
                <w:color w:val="0F1115"/>
                <w:spacing w:val="5"/>
              </w:rPr>
              <w:t xml:space="preserve"> </w:t>
            </w:r>
            <w:r>
              <w:rPr>
                <w:color w:val="0F1115"/>
                <w:spacing w:val="-1"/>
              </w:rPr>
              <w:t>cytokines</w:t>
            </w:r>
            <w:r>
              <w:rPr>
                <w:color w:val="0F1115"/>
                <w:spacing w:val="3"/>
              </w:rPr>
              <w:t xml:space="preserve"> </w:t>
            </w:r>
            <w:r>
              <w:rPr>
                <w:color w:val="0F1115"/>
                <w:spacing w:val="-1"/>
              </w:rPr>
              <w:t>may</w:t>
            </w:r>
            <w:r>
              <w:rPr>
                <w:color w:val="0F1115"/>
                <w:spacing w:val="5"/>
              </w:rPr>
              <w:t xml:space="preserve"> </w:t>
            </w:r>
            <w:r>
              <w:rPr>
                <w:color w:val="0F1115"/>
                <w:spacing w:val="-1"/>
              </w:rPr>
              <w:t>directly</w:t>
            </w:r>
            <w:r>
              <w:rPr>
                <w:color w:val="0F1115"/>
              </w:rPr>
              <w:t xml:space="preserve"> cause cytopenias or affect iron metabolism</w:t>
            </w:r>
            <w:r>
              <w:rPr>
                <w:color w:val="0F1115"/>
                <w:spacing w:val="-1"/>
              </w:rPr>
              <w:t>, potentially</w:t>
            </w:r>
            <w:r>
              <w:rPr>
                <w:rFonts w:hint="eastAsia"/>
                <w:color w:val="0F1115"/>
                <w:spacing w:val="-1"/>
                <w:lang w:eastAsia="zh-CN"/>
              </w:rPr>
              <w:t xml:space="preserve"> </w:t>
            </w:r>
            <w:r>
              <w:rPr>
                <w:color w:val="0F1115"/>
                <w:spacing w:val="-1"/>
              </w:rPr>
              <w:t>influencing ITP</w:t>
            </w:r>
          </w:p>
        </w:tc>
      </w:tr>
      <w:tr w:rsidR="00196FE8" w14:paraId="7AE54B48" w14:textId="77777777">
        <w:trPr>
          <w:tblHeader/>
          <w:jc w:val="center"/>
        </w:trPr>
        <w:tc>
          <w:tcPr>
            <w:tcW w:w="0" w:type="auto"/>
            <w:tcBorders>
              <w:top w:val="nil"/>
              <w:left w:val="nil"/>
              <w:bottom w:val="nil"/>
              <w:right w:val="nil"/>
            </w:tcBorders>
            <w:tcMar>
              <w:top w:w="-1" w:type="dxa"/>
              <w:left w:w="-1" w:type="dxa"/>
              <w:bottom w:w="-1" w:type="dxa"/>
              <w:right w:w="-1" w:type="dxa"/>
            </w:tcMar>
            <w:vAlign w:val="center"/>
          </w:tcPr>
          <w:p w14:paraId="53CCF346" w14:textId="77777777" w:rsidR="00196FE8" w:rsidRDefault="00D97C78">
            <w:pPr>
              <w:pStyle w:val="TableText"/>
              <w:spacing w:before="49"/>
              <w:jc w:val="center"/>
            </w:pPr>
            <w:r>
              <w:rPr>
                <w:color w:val="0F1115"/>
                <w:spacing w:val="-3"/>
              </w:rPr>
              <w:t>SLE</w:t>
            </w:r>
            <w:r>
              <w:rPr>
                <w:color w:val="0F1115"/>
                <w:spacing w:val="10"/>
              </w:rPr>
              <w:t xml:space="preserve"> </w:t>
            </w:r>
            <w:r>
              <w:rPr>
                <w:color w:val="0F1115"/>
                <w:spacing w:val="-3"/>
              </w:rPr>
              <w:t>→ ITP</w:t>
            </w:r>
          </w:p>
        </w:tc>
        <w:tc>
          <w:tcPr>
            <w:tcW w:w="0" w:type="auto"/>
            <w:tcBorders>
              <w:top w:val="nil"/>
              <w:left w:val="nil"/>
              <w:bottom w:val="nil"/>
              <w:right w:val="nil"/>
            </w:tcBorders>
            <w:tcMar>
              <w:top w:w="-1" w:type="dxa"/>
              <w:left w:w="-1" w:type="dxa"/>
              <w:bottom w:w="-1" w:type="dxa"/>
              <w:right w:w="-1" w:type="dxa"/>
            </w:tcMar>
            <w:vAlign w:val="center"/>
          </w:tcPr>
          <w:p w14:paraId="789DAE86" w14:textId="77777777" w:rsidR="00196FE8" w:rsidRDefault="00D97C78">
            <w:pPr>
              <w:pStyle w:val="TableText"/>
              <w:spacing w:before="49"/>
              <w:jc w:val="center"/>
            </w:pPr>
            <w:r>
              <w:rPr>
                <w:color w:val="0F1115"/>
              </w:rPr>
              <w:t>rs9267574</w:t>
            </w:r>
          </w:p>
        </w:tc>
        <w:tc>
          <w:tcPr>
            <w:tcW w:w="0" w:type="auto"/>
            <w:tcBorders>
              <w:top w:val="nil"/>
              <w:left w:val="nil"/>
              <w:bottom w:val="nil"/>
              <w:right w:val="nil"/>
            </w:tcBorders>
            <w:tcMar>
              <w:top w:w="-1" w:type="dxa"/>
              <w:left w:w="-1" w:type="dxa"/>
              <w:bottom w:w="-1" w:type="dxa"/>
              <w:right w:w="-1" w:type="dxa"/>
            </w:tcMar>
            <w:vAlign w:val="center"/>
          </w:tcPr>
          <w:p w14:paraId="543D52AC" w14:textId="77777777" w:rsidR="00196FE8" w:rsidRDefault="00D97C78">
            <w:pPr>
              <w:pStyle w:val="TableText"/>
              <w:spacing w:before="49"/>
              <w:jc w:val="center"/>
            </w:pPr>
            <w:r>
              <w:rPr>
                <w:color w:val="0F1115"/>
                <w:spacing w:val="-1"/>
                <w:position w:val="1"/>
              </w:rPr>
              <w:t>4×10⁻⁸</w:t>
            </w:r>
          </w:p>
        </w:tc>
        <w:tc>
          <w:tcPr>
            <w:tcW w:w="0" w:type="auto"/>
            <w:tcBorders>
              <w:top w:val="nil"/>
              <w:left w:val="nil"/>
              <w:bottom w:val="nil"/>
              <w:right w:val="nil"/>
            </w:tcBorders>
            <w:tcMar>
              <w:top w:w="-1" w:type="dxa"/>
              <w:left w:w="-1" w:type="dxa"/>
              <w:bottom w:w="-1" w:type="dxa"/>
              <w:right w:w="-1" w:type="dxa"/>
            </w:tcMar>
            <w:vAlign w:val="center"/>
          </w:tcPr>
          <w:p w14:paraId="4F998466" w14:textId="77777777" w:rsidR="00196FE8" w:rsidRDefault="00D97C78">
            <w:pPr>
              <w:pStyle w:val="TableText"/>
              <w:spacing w:before="189"/>
              <w:jc w:val="center"/>
            </w:pPr>
            <w:r>
              <w:rPr>
                <w:color w:val="0F1115"/>
                <w:spacing w:val="-1"/>
              </w:rPr>
              <w:t>Seropositivity</w:t>
            </w:r>
          </w:p>
          <w:p w14:paraId="4F7916D1" w14:textId="77777777" w:rsidR="00196FE8" w:rsidRDefault="00D97C78">
            <w:pPr>
              <w:pStyle w:val="TableText"/>
              <w:spacing w:before="38"/>
              <w:jc w:val="center"/>
            </w:pPr>
            <w:r>
              <w:rPr>
                <w:color w:val="0F1115"/>
                <w:spacing w:val="-1"/>
              </w:rPr>
              <w:t>for Streptococcus</w:t>
            </w:r>
          </w:p>
          <w:p w14:paraId="736D40FD" w14:textId="77777777" w:rsidR="00196FE8" w:rsidRDefault="00D97C78">
            <w:pPr>
              <w:pStyle w:val="TableText"/>
              <w:spacing w:before="38"/>
              <w:jc w:val="center"/>
            </w:pPr>
            <w:r>
              <w:rPr>
                <w:color w:val="0F1115"/>
                <w:spacing w:val="-1"/>
              </w:rPr>
              <w:t>pneumoniae peptides</w:t>
            </w:r>
          </w:p>
        </w:tc>
        <w:tc>
          <w:tcPr>
            <w:tcW w:w="3782" w:type="dxa"/>
            <w:tcBorders>
              <w:top w:val="nil"/>
              <w:left w:val="nil"/>
              <w:bottom w:val="nil"/>
              <w:right w:val="nil"/>
            </w:tcBorders>
            <w:tcMar>
              <w:top w:w="-1" w:type="dxa"/>
              <w:left w:w="-1" w:type="dxa"/>
              <w:bottom w:w="-1" w:type="dxa"/>
              <w:right w:w="-1" w:type="dxa"/>
            </w:tcMar>
            <w:vAlign w:val="center"/>
          </w:tcPr>
          <w:p w14:paraId="41632DC9" w14:textId="77777777" w:rsidR="00196FE8" w:rsidRDefault="00D97C78">
            <w:pPr>
              <w:pStyle w:val="TableText"/>
              <w:spacing w:before="92"/>
              <w:jc w:val="center"/>
            </w:pPr>
            <w:r>
              <w:rPr>
                <w:color w:val="0F1115"/>
              </w:rPr>
              <w:t xml:space="preserve">Acts as a risk factor </w:t>
            </w:r>
            <w:r>
              <w:rPr>
                <w:color w:val="0F1115"/>
                <w:spacing w:val="-1"/>
              </w:rPr>
              <w:t>for</w:t>
            </w:r>
            <w:r>
              <w:rPr>
                <w:color w:val="0F1115"/>
                <w:spacing w:val="9"/>
              </w:rPr>
              <w:t xml:space="preserve"> </w:t>
            </w:r>
            <w:r>
              <w:rPr>
                <w:color w:val="0F1115"/>
                <w:spacing w:val="-1"/>
              </w:rPr>
              <w:t>SLE; infection</w:t>
            </w:r>
            <w:r>
              <w:rPr>
                <w:color w:val="0F1115"/>
                <w:spacing w:val="5"/>
              </w:rPr>
              <w:t xml:space="preserve"> </w:t>
            </w:r>
            <w:r>
              <w:rPr>
                <w:color w:val="0F1115"/>
                <w:spacing w:val="-1"/>
              </w:rPr>
              <w:t>can</w:t>
            </w:r>
            <w:r>
              <w:rPr>
                <w:color w:val="0F1115"/>
                <w:spacing w:val="6"/>
              </w:rPr>
              <w:t xml:space="preserve"> </w:t>
            </w:r>
            <w:r>
              <w:rPr>
                <w:color w:val="0F1115"/>
                <w:spacing w:val="-1"/>
              </w:rPr>
              <w:t>directly</w:t>
            </w:r>
            <w:r>
              <w:rPr>
                <w:color w:val="0F1115"/>
                <w:spacing w:val="2"/>
              </w:rPr>
              <w:t xml:space="preserve"> </w:t>
            </w:r>
            <w:r>
              <w:rPr>
                <w:color w:val="0F1115"/>
                <w:spacing w:val="-1"/>
              </w:rPr>
              <w:t>cause</w:t>
            </w:r>
            <w:r>
              <w:rPr>
                <w:color w:val="0F1115"/>
              </w:rPr>
              <w:t xml:space="preserve"> thrombocytopenia and may be r</w:t>
            </w:r>
            <w:r>
              <w:rPr>
                <w:color w:val="0F1115"/>
                <w:spacing w:val="-1"/>
              </w:rPr>
              <w:t>elated to</w:t>
            </w:r>
          </w:p>
          <w:p w14:paraId="14E045DF" w14:textId="77777777" w:rsidR="00196FE8" w:rsidRDefault="00D97C78">
            <w:pPr>
              <w:pStyle w:val="TableText"/>
              <w:spacing w:before="26"/>
              <w:jc w:val="center"/>
              <w:rPr>
                <w:lang w:eastAsia="zh-CN"/>
              </w:rPr>
            </w:pPr>
            <w:r>
              <w:rPr>
                <w:color w:val="0F1115"/>
              </w:rPr>
              <w:t>immunodeficiency-associated genes</w:t>
            </w:r>
            <w:r>
              <w:rPr>
                <w:color w:val="0F1115"/>
                <w:spacing w:val="-1"/>
              </w:rPr>
              <w:t>, confounding</w:t>
            </w:r>
            <w:r>
              <w:rPr>
                <w:color w:val="0F1115"/>
              </w:rPr>
              <w:t xml:space="preserve"> </w:t>
            </w:r>
            <w:r>
              <w:rPr>
                <w:color w:val="0F1115"/>
                <w:spacing w:val="-1"/>
              </w:rPr>
              <w:t>immune-mediated ITP</w:t>
            </w:r>
          </w:p>
        </w:tc>
      </w:tr>
      <w:tr w:rsidR="00196FE8" w14:paraId="7C028309" w14:textId="77777777">
        <w:trPr>
          <w:tblHeader/>
          <w:jc w:val="center"/>
        </w:trPr>
        <w:tc>
          <w:tcPr>
            <w:tcW w:w="0" w:type="auto"/>
            <w:tcBorders>
              <w:top w:val="nil"/>
              <w:left w:val="nil"/>
              <w:bottom w:val="nil"/>
              <w:right w:val="nil"/>
            </w:tcBorders>
            <w:tcMar>
              <w:top w:w="-1" w:type="dxa"/>
              <w:left w:w="-1" w:type="dxa"/>
              <w:bottom w:w="-1" w:type="dxa"/>
              <w:right w:w="-1" w:type="dxa"/>
            </w:tcMar>
            <w:vAlign w:val="center"/>
          </w:tcPr>
          <w:p w14:paraId="4986101A" w14:textId="77777777" w:rsidR="00196FE8" w:rsidRDefault="00D97C78">
            <w:pPr>
              <w:pStyle w:val="TableText"/>
              <w:spacing w:before="49"/>
              <w:jc w:val="center"/>
            </w:pPr>
            <w:r>
              <w:rPr>
                <w:color w:val="0F1115"/>
                <w:spacing w:val="-2"/>
              </w:rPr>
              <w:t>SLE → B12DA</w:t>
            </w:r>
          </w:p>
        </w:tc>
        <w:tc>
          <w:tcPr>
            <w:tcW w:w="0" w:type="auto"/>
            <w:tcBorders>
              <w:top w:val="nil"/>
              <w:left w:val="nil"/>
              <w:bottom w:val="nil"/>
              <w:right w:val="nil"/>
            </w:tcBorders>
            <w:tcMar>
              <w:top w:w="-1" w:type="dxa"/>
              <w:left w:w="-1" w:type="dxa"/>
              <w:bottom w:w="-1" w:type="dxa"/>
              <w:right w:w="-1" w:type="dxa"/>
            </w:tcMar>
            <w:vAlign w:val="center"/>
          </w:tcPr>
          <w:p w14:paraId="37249488" w14:textId="77777777" w:rsidR="00196FE8" w:rsidRDefault="00D97C78">
            <w:pPr>
              <w:pStyle w:val="TableText"/>
              <w:spacing w:before="48"/>
              <w:jc w:val="center"/>
            </w:pPr>
            <w:r>
              <w:rPr>
                <w:color w:val="0F1115"/>
              </w:rPr>
              <w:t>rs13136219</w:t>
            </w:r>
          </w:p>
        </w:tc>
        <w:tc>
          <w:tcPr>
            <w:tcW w:w="0" w:type="auto"/>
            <w:tcBorders>
              <w:top w:val="nil"/>
              <w:left w:val="nil"/>
              <w:bottom w:val="nil"/>
              <w:right w:val="nil"/>
            </w:tcBorders>
            <w:tcMar>
              <w:top w:w="-1" w:type="dxa"/>
              <w:left w:w="-1" w:type="dxa"/>
              <w:bottom w:w="-1" w:type="dxa"/>
              <w:right w:w="-1" w:type="dxa"/>
            </w:tcMar>
            <w:vAlign w:val="center"/>
          </w:tcPr>
          <w:p w14:paraId="1162EC24" w14:textId="77777777" w:rsidR="00196FE8" w:rsidRDefault="00D97C78">
            <w:pPr>
              <w:pStyle w:val="TableText"/>
              <w:spacing w:before="248"/>
              <w:jc w:val="center"/>
            </w:pPr>
            <w:r>
              <w:rPr>
                <w:color w:val="0F1115"/>
                <w:spacing w:val="-2"/>
                <w:position w:val="1"/>
              </w:rPr>
              <w:t>5×10⁻⁸</w:t>
            </w:r>
          </w:p>
        </w:tc>
        <w:tc>
          <w:tcPr>
            <w:tcW w:w="0" w:type="auto"/>
            <w:tcBorders>
              <w:top w:val="nil"/>
              <w:left w:val="nil"/>
              <w:bottom w:val="nil"/>
              <w:right w:val="nil"/>
            </w:tcBorders>
            <w:tcMar>
              <w:top w:w="-1" w:type="dxa"/>
              <w:left w:w="-1" w:type="dxa"/>
              <w:bottom w:w="-1" w:type="dxa"/>
              <w:right w:w="-1" w:type="dxa"/>
            </w:tcMar>
            <w:vAlign w:val="center"/>
          </w:tcPr>
          <w:p w14:paraId="1B09E68A" w14:textId="77777777" w:rsidR="00196FE8" w:rsidRDefault="00D97C78">
            <w:pPr>
              <w:pStyle w:val="TableText"/>
              <w:spacing w:before="207"/>
              <w:jc w:val="center"/>
            </w:pPr>
            <w:r>
              <w:rPr>
                <w:color w:val="0F1115"/>
                <w:spacing w:val="-1"/>
              </w:rPr>
              <w:t>Gut microbiota</w:t>
            </w:r>
          </w:p>
          <w:p w14:paraId="65DDFE38" w14:textId="77777777" w:rsidR="00196FE8" w:rsidRDefault="00D97C78">
            <w:pPr>
              <w:pStyle w:val="TableText"/>
              <w:spacing w:before="38"/>
              <w:jc w:val="center"/>
            </w:pPr>
            <w:r>
              <w:rPr>
                <w:color w:val="0F1115"/>
                <w:spacing w:val="-1"/>
              </w:rPr>
              <w:t>(beta-diversity)</w:t>
            </w:r>
          </w:p>
        </w:tc>
        <w:tc>
          <w:tcPr>
            <w:tcW w:w="3782" w:type="dxa"/>
            <w:tcBorders>
              <w:top w:val="nil"/>
              <w:left w:val="nil"/>
              <w:bottom w:val="nil"/>
              <w:right w:val="nil"/>
            </w:tcBorders>
            <w:tcMar>
              <w:top w:w="-1" w:type="dxa"/>
              <w:left w:w="-1" w:type="dxa"/>
              <w:bottom w:w="-1" w:type="dxa"/>
              <w:right w:w="-1" w:type="dxa"/>
            </w:tcMar>
            <w:vAlign w:val="center"/>
          </w:tcPr>
          <w:p w14:paraId="106E8C21" w14:textId="77777777" w:rsidR="00196FE8" w:rsidRDefault="00D97C78">
            <w:pPr>
              <w:pStyle w:val="TableText"/>
              <w:spacing w:before="112"/>
              <w:jc w:val="center"/>
              <w:rPr>
                <w:lang w:eastAsia="zh-CN"/>
              </w:rPr>
            </w:pPr>
            <w:r>
              <w:rPr>
                <w:color w:val="0F1115"/>
              </w:rPr>
              <w:t>Vitamin B12 is absorbed in the ileum; diseases/s</w:t>
            </w:r>
            <w:r>
              <w:rPr>
                <w:color w:val="0F1115"/>
                <w:spacing w:val="-1"/>
              </w:rPr>
              <w:t>tates that</w:t>
            </w:r>
            <w:r>
              <w:rPr>
                <w:color w:val="0F1115"/>
              </w:rPr>
              <w:t xml:space="preserve"> directly affect absorption represent independent p</w:t>
            </w:r>
            <w:r>
              <w:rPr>
                <w:color w:val="0F1115"/>
                <w:spacing w:val="-1"/>
              </w:rPr>
              <w:t>athogenic</w:t>
            </w:r>
            <w:r>
              <w:rPr>
                <w:color w:val="0F1115"/>
              </w:rPr>
              <w:t xml:space="preserve"> </w:t>
            </w:r>
            <w:r>
              <w:rPr>
                <w:color w:val="0F1115"/>
                <w:spacing w:val="-1"/>
              </w:rPr>
              <w:t>pathways from</w:t>
            </w:r>
            <w:r>
              <w:rPr>
                <w:color w:val="0F1115"/>
                <w:spacing w:val="10"/>
                <w:w w:val="102"/>
              </w:rPr>
              <w:t xml:space="preserve"> </w:t>
            </w:r>
            <w:r>
              <w:rPr>
                <w:color w:val="0F1115"/>
                <w:spacing w:val="-1"/>
              </w:rPr>
              <w:t>SLE</w:t>
            </w:r>
          </w:p>
        </w:tc>
      </w:tr>
      <w:tr w:rsidR="00196FE8" w14:paraId="0769F77C" w14:textId="77777777">
        <w:trPr>
          <w:tblHeader/>
          <w:jc w:val="center"/>
        </w:trPr>
        <w:tc>
          <w:tcPr>
            <w:tcW w:w="0" w:type="auto"/>
            <w:tcBorders>
              <w:top w:val="nil"/>
              <w:left w:val="nil"/>
              <w:bottom w:val="nil"/>
              <w:right w:val="nil"/>
            </w:tcBorders>
            <w:tcMar>
              <w:top w:w="-1" w:type="dxa"/>
              <w:left w:w="-1" w:type="dxa"/>
              <w:bottom w:w="-1" w:type="dxa"/>
              <w:right w:w="-1" w:type="dxa"/>
            </w:tcMar>
            <w:vAlign w:val="center"/>
          </w:tcPr>
          <w:p w14:paraId="0769E131" w14:textId="77777777" w:rsidR="00196FE8" w:rsidRDefault="00D97C78">
            <w:pPr>
              <w:pStyle w:val="TableText"/>
              <w:spacing w:before="49"/>
              <w:jc w:val="center"/>
            </w:pPr>
            <w:r>
              <w:rPr>
                <w:color w:val="0F1115"/>
                <w:spacing w:val="-2"/>
              </w:rPr>
              <w:t>SLE → B12DA</w:t>
            </w:r>
          </w:p>
        </w:tc>
        <w:tc>
          <w:tcPr>
            <w:tcW w:w="0" w:type="auto"/>
            <w:tcBorders>
              <w:top w:val="nil"/>
              <w:left w:val="nil"/>
              <w:bottom w:val="nil"/>
              <w:right w:val="nil"/>
            </w:tcBorders>
            <w:tcMar>
              <w:top w:w="-1" w:type="dxa"/>
              <w:left w:w="-1" w:type="dxa"/>
              <w:bottom w:w="-1" w:type="dxa"/>
              <w:right w:w="-1" w:type="dxa"/>
            </w:tcMar>
            <w:vAlign w:val="center"/>
          </w:tcPr>
          <w:p w14:paraId="03F0BE17" w14:textId="77777777" w:rsidR="00196FE8" w:rsidRDefault="00D97C78">
            <w:pPr>
              <w:pStyle w:val="TableText"/>
              <w:spacing w:before="49"/>
              <w:jc w:val="center"/>
            </w:pPr>
            <w:r>
              <w:rPr>
                <w:color w:val="0F1115"/>
              </w:rPr>
              <w:t>rs3024879</w:t>
            </w:r>
          </w:p>
        </w:tc>
        <w:tc>
          <w:tcPr>
            <w:tcW w:w="0" w:type="auto"/>
            <w:tcBorders>
              <w:top w:val="nil"/>
              <w:left w:val="nil"/>
              <w:bottom w:val="nil"/>
              <w:right w:val="nil"/>
            </w:tcBorders>
            <w:tcMar>
              <w:top w:w="-1" w:type="dxa"/>
              <w:left w:w="-1" w:type="dxa"/>
              <w:bottom w:w="-1" w:type="dxa"/>
              <w:right w:w="-1" w:type="dxa"/>
            </w:tcMar>
            <w:vAlign w:val="center"/>
          </w:tcPr>
          <w:p w14:paraId="45B92F0E" w14:textId="77777777" w:rsidR="00196FE8" w:rsidRDefault="00D97C78">
            <w:pPr>
              <w:pStyle w:val="TableText"/>
              <w:spacing w:before="231"/>
              <w:jc w:val="center"/>
            </w:pPr>
            <w:r>
              <w:rPr>
                <w:color w:val="0F1115"/>
                <w:spacing w:val="-2"/>
                <w:position w:val="1"/>
              </w:rPr>
              <w:t>3×10⁻¹¹</w:t>
            </w:r>
          </w:p>
        </w:tc>
        <w:tc>
          <w:tcPr>
            <w:tcW w:w="0" w:type="auto"/>
            <w:tcBorders>
              <w:top w:val="nil"/>
              <w:left w:val="nil"/>
              <w:bottom w:val="nil"/>
              <w:right w:val="nil"/>
            </w:tcBorders>
            <w:tcMar>
              <w:top w:w="-1" w:type="dxa"/>
              <w:left w:w="-1" w:type="dxa"/>
              <w:bottom w:w="-1" w:type="dxa"/>
              <w:right w:w="-1" w:type="dxa"/>
            </w:tcMar>
            <w:vAlign w:val="center"/>
          </w:tcPr>
          <w:p w14:paraId="6C4EF67D" w14:textId="77777777" w:rsidR="00196FE8" w:rsidRDefault="00D97C78">
            <w:pPr>
              <w:pStyle w:val="TableText"/>
              <w:spacing w:before="191"/>
              <w:jc w:val="center"/>
            </w:pPr>
            <w:r>
              <w:rPr>
                <w:color w:val="0F1115"/>
                <w:spacing w:val="-1"/>
              </w:rPr>
              <w:t>Inflammatory bowel</w:t>
            </w:r>
            <w:r>
              <w:rPr>
                <w:color w:val="0F1115"/>
                <w:spacing w:val="8"/>
              </w:rPr>
              <w:t xml:space="preserve"> </w:t>
            </w:r>
            <w:r>
              <w:rPr>
                <w:color w:val="0F1115"/>
                <w:spacing w:val="-1"/>
              </w:rPr>
              <w:t>disease</w:t>
            </w:r>
          </w:p>
        </w:tc>
        <w:tc>
          <w:tcPr>
            <w:tcW w:w="3782" w:type="dxa"/>
            <w:tcBorders>
              <w:top w:val="nil"/>
              <w:left w:val="nil"/>
              <w:bottom w:val="nil"/>
              <w:right w:val="nil"/>
            </w:tcBorders>
            <w:tcMar>
              <w:top w:w="-1" w:type="dxa"/>
              <w:left w:w="-1" w:type="dxa"/>
              <w:bottom w:w="-1" w:type="dxa"/>
              <w:right w:w="-1" w:type="dxa"/>
            </w:tcMar>
            <w:vAlign w:val="center"/>
          </w:tcPr>
          <w:p w14:paraId="2C53016A" w14:textId="77777777" w:rsidR="00196FE8" w:rsidRDefault="00D97C78">
            <w:pPr>
              <w:pStyle w:val="TableText"/>
              <w:spacing w:before="95"/>
              <w:jc w:val="center"/>
              <w:rPr>
                <w:lang w:eastAsia="zh-CN"/>
              </w:rPr>
            </w:pPr>
            <w:r>
              <w:rPr>
                <w:color w:val="0F1115"/>
              </w:rPr>
              <w:t>Vitamin B12 is absorbed in the ileum; diseases th</w:t>
            </w:r>
            <w:r>
              <w:rPr>
                <w:color w:val="0F1115"/>
                <w:spacing w:val="-1"/>
              </w:rPr>
              <w:t>at directly</w:t>
            </w:r>
            <w:r>
              <w:rPr>
                <w:color w:val="0F1115"/>
              </w:rPr>
              <w:t xml:space="preserve"> affect absorption represent independent p</w:t>
            </w:r>
            <w:r>
              <w:rPr>
                <w:color w:val="0F1115"/>
                <w:spacing w:val="-1"/>
              </w:rPr>
              <w:t>athogenic pathways</w:t>
            </w:r>
            <w:r>
              <w:rPr>
                <w:color w:val="0F1115"/>
              </w:rPr>
              <w:t xml:space="preserve"> </w:t>
            </w:r>
            <w:r>
              <w:rPr>
                <w:color w:val="0F1115"/>
                <w:spacing w:val="-3"/>
              </w:rPr>
              <w:t>from</w:t>
            </w:r>
            <w:r>
              <w:rPr>
                <w:color w:val="0F1115"/>
                <w:spacing w:val="14"/>
              </w:rPr>
              <w:t xml:space="preserve"> </w:t>
            </w:r>
            <w:r>
              <w:rPr>
                <w:color w:val="0F1115"/>
                <w:spacing w:val="-3"/>
              </w:rPr>
              <w:t>SLE</w:t>
            </w:r>
          </w:p>
        </w:tc>
      </w:tr>
      <w:tr w:rsidR="00196FE8" w14:paraId="60618C1F" w14:textId="77777777">
        <w:trPr>
          <w:tblHeader/>
          <w:jc w:val="center"/>
        </w:trPr>
        <w:tc>
          <w:tcPr>
            <w:tcW w:w="0" w:type="auto"/>
            <w:tcBorders>
              <w:top w:val="nil"/>
              <w:left w:val="nil"/>
              <w:bottom w:val="nil"/>
              <w:right w:val="nil"/>
            </w:tcBorders>
            <w:tcMar>
              <w:top w:w="-1" w:type="dxa"/>
              <w:left w:w="-1" w:type="dxa"/>
              <w:bottom w:w="-1" w:type="dxa"/>
              <w:right w:w="-1" w:type="dxa"/>
            </w:tcMar>
            <w:vAlign w:val="center"/>
          </w:tcPr>
          <w:p w14:paraId="0747F777" w14:textId="77777777" w:rsidR="00196FE8" w:rsidRDefault="00D97C78">
            <w:pPr>
              <w:pStyle w:val="TableText"/>
              <w:spacing w:before="211"/>
              <w:jc w:val="center"/>
            </w:pPr>
            <w:r>
              <w:rPr>
                <w:color w:val="0F1115"/>
                <w:spacing w:val="-3"/>
              </w:rPr>
              <w:t>SLE</w:t>
            </w:r>
            <w:r>
              <w:rPr>
                <w:color w:val="0F1115"/>
                <w:spacing w:val="8"/>
              </w:rPr>
              <w:t xml:space="preserve"> </w:t>
            </w:r>
            <w:r>
              <w:rPr>
                <w:color w:val="0F1115"/>
                <w:spacing w:val="-3"/>
              </w:rPr>
              <w:t>→ IDA</w:t>
            </w:r>
          </w:p>
        </w:tc>
        <w:tc>
          <w:tcPr>
            <w:tcW w:w="0" w:type="auto"/>
            <w:tcBorders>
              <w:top w:val="nil"/>
              <w:left w:val="nil"/>
              <w:bottom w:val="nil"/>
              <w:right w:val="nil"/>
            </w:tcBorders>
            <w:tcMar>
              <w:top w:w="-1" w:type="dxa"/>
              <w:left w:w="-1" w:type="dxa"/>
              <w:bottom w:w="-1" w:type="dxa"/>
              <w:right w:w="-1" w:type="dxa"/>
            </w:tcMar>
            <w:vAlign w:val="center"/>
          </w:tcPr>
          <w:p w14:paraId="6EED322C" w14:textId="77777777" w:rsidR="00196FE8" w:rsidRDefault="00D97C78">
            <w:pPr>
              <w:pStyle w:val="TableText"/>
              <w:spacing w:before="211"/>
              <w:jc w:val="center"/>
            </w:pPr>
            <w:r>
              <w:rPr>
                <w:color w:val="0F1115"/>
              </w:rPr>
              <w:t>rs9267574</w:t>
            </w:r>
          </w:p>
        </w:tc>
        <w:tc>
          <w:tcPr>
            <w:tcW w:w="0" w:type="auto"/>
            <w:tcBorders>
              <w:top w:val="nil"/>
              <w:left w:val="nil"/>
              <w:bottom w:val="nil"/>
              <w:right w:val="nil"/>
            </w:tcBorders>
            <w:tcMar>
              <w:top w:w="-1" w:type="dxa"/>
              <w:left w:w="-1" w:type="dxa"/>
              <w:bottom w:w="-1" w:type="dxa"/>
              <w:right w:w="-1" w:type="dxa"/>
            </w:tcMar>
            <w:vAlign w:val="center"/>
          </w:tcPr>
          <w:p w14:paraId="1CAAA6B1" w14:textId="77777777" w:rsidR="00196FE8" w:rsidRDefault="00D97C78">
            <w:pPr>
              <w:pStyle w:val="TableText"/>
              <w:spacing w:before="151"/>
              <w:jc w:val="center"/>
            </w:pPr>
            <w:r>
              <w:rPr>
                <w:color w:val="0F1115"/>
                <w:spacing w:val="-4"/>
                <w:position w:val="1"/>
              </w:rPr>
              <w:t>1×10⁻⁸</w:t>
            </w:r>
          </w:p>
        </w:tc>
        <w:tc>
          <w:tcPr>
            <w:tcW w:w="0" w:type="auto"/>
            <w:tcBorders>
              <w:top w:val="nil"/>
              <w:left w:val="nil"/>
              <w:bottom w:val="nil"/>
              <w:right w:val="nil"/>
            </w:tcBorders>
            <w:tcMar>
              <w:top w:w="-1" w:type="dxa"/>
              <w:left w:w="-1" w:type="dxa"/>
              <w:bottom w:w="-1" w:type="dxa"/>
              <w:right w:w="-1" w:type="dxa"/>
            </w:tcMar>
            <w:vAlign w:val="center"/>
          </w:tcPr>
          <w:p w14:paraId="59C98C92" w14:textId="77777777" w:rsidR="00196FE8" w:rsidRDefault="00D97C78">
            <w:pPr>
              <w:pStyle w:val="TableText"/>
              <w:spacing w:before="208"/>
              <w:jc w:val="center"/>
            </w:pPr>
            <w:r>
              <w:rPr>
                <w:color w:val="0F1115"/>
                <w:spacing w:val="-1"/>
              </w:rPr>
              <w:t>Crohn</w:t>
            </w:r>
            <w:r>
              <w:rPr>
                <w:rFonts w:eastAsiaTheme="minorEastAsia"/>
                <w:color w:val="0F1115"/>
                <w:spacing w:val="-1"/>
                <w:lang w:eastAsia="zh-CN"/>
              </w:rPr>
              <w:t>’</w:t>
            </w:r>
            <w:r>
              <w:rPr>
                <w:color w:val="0F1115"/>
                <w:spacing w:val="-1"/>
              </w:rPr>
              <w:t>s disease</w:t>
            </w:r>
          </w:p>
        </w:tc>
        <w:tc>
          <w:tcPr>
            <w:tcW w:w="3782" w:type="dxa"/>
            <w:tcBorders>
              <w:top w:val="nil"/>
              <w:left w:val="nil"/>
              <w:bottom w:val="nil"/>
              <w:right w:val="nil"/>
            </w:tcBorders>
            <w:tcMar>
              <w:top w:w="-1" w:type="dxa"/>
              <w:left w:w="-1" w:type="dxa"/>
              <w:bottom w:w="-1" w:type="dxa"/>
              <w:right w:w="-1" w:type="dxa"/>
            </w:tcMar>
            <w:vAlign w:val="center"/>
          </w:tcPr>
          <w:p w14:paraId="2422A6B1" w14:textId="77777777" w:rsidR="00196FE8" w:rsidRDefault="00D97C78">
            <w:pPr>
              <w:pStyle w:val="TableText"/>
              <w:spacing w:before="112"/>
              <w:jc w:val="center"/>
              <w:rPr>
                <w:lang w:eastAsia="zh-CN"/>
              </w:rPr>
            </w:pPr>
            <w:r>
              <w:rPr>
                <w:color w:val="0F1115"/>
              </w:rPr>
              <w:t>These diseases directly disrupt the an</w:t>
            </w:r>
            <w:r>
              <w:rPr>
                <w:color w:val="0F1115"/>
                <w:spacing w:val="-1"/>
              </w:rPr>
              <w:t>atomical or</w:t>
            </w:r>
            <w:r>
              <w:rPr>
                <w:color w:val="0F1115"/>
                <w:spacing w:val="7"/>
              </w:rPr>
              <w:t xml:space="preserve"> </w:t>
            </w:r>
            <w:r>
              <w:rPr>
                <w:color w:val="0F1115"/>
                <w:spacing w:val="-1"/>
              </w:rPr>
              <w:t>functional</w:t>
            </w:r>
            <w:r>
              <w:rPr>
                <w:color w:val="0F1115"/>
              </w:rPr>
              <w:t xml:space="preserve"> basis of</w:t>
            </w:r>
            <w:r>
              <w:rPr>
                <w:color w:val="0F1115"/>
                <w:spacing w:val="-14"/>
              </w:rPr>
              <w:t xml:space="preserve"> </w:t>
            </w:r>
            <w:r>
              <w:rPr>
                <w:color w:val="0F1115"/>
              </w:rPr>
              <w:t>iron absorption and are independent</w:t>
            </w:r>
            <w:r>
              <w:rPr>
                <w:color w:val="0F1115"/>
                <w:spacing w:val="7"/>
              </w:rPr>
              <w:t xml:space="preserve"> </w:t>
            </w:r>
            <w:r>
              <w:rPr>
                <w:color w:val="0F1115"/>
              </w:rPr>
              <w:t>causes</w:t>
            </w:r>
          </w:p>
        </w:tc>
      </w:tr>
      <w:tr w:rsidR="00196FE8" w14:paraId="282F00B9" w14:textId="77777777">
        <w:trPr>
          <w:tblHeader/>
          <w:jc w:val="center"/>
        </w:trPr>
        <w:tc>
          <w:tcPr>
            <w:tcW w:w="0" w:type="auto"/>
            <w:tcBorders>
              <w:top w:val="nil"/>
              <w:left w:val="nil"/>
              <w:bottom w:val="nil"/>
              <w:right w:val="nil"/>
            </w:tcBorders>
            <w:tcMar>
              <w:top w:w="-1" w:type="dxa"/>
              <w:left w:w="-1" w:type="dxa"/>
              <w:bottom w:w="-1" w:type="dxa"/>
              <w:right w:w="-1" w:type="dxa"/>
            </w:tcMar>
            <w:vAlign w:val="center"/>
          </w:tcPr>
          <w:p w14:paraId="19496777" w14:textId="77777777" w:rsidR="00196FE8" w:rsidRDefault="00D97C78">
            <w:pPr>
              <w:pStyle w:val="TableText"/>
              <w:spacing w:before="49"/>
              <w:jc w:val="center"/>
            </w:pPr>
            <w:r>
              <w:rPr>
                <w:color w:val="0F1115"/>
                <w:spacing w:val="-2"/>
              </w:rPr>
              <w:t>SLE →</w:t>
            </w:r>
            <w:r>
              <w:rPr>
                <w:color w:val="0F1115"/>
                <w:spacing w:val="1"/>
              </w:rPr>
              <w:t xml:space="preserve"> </w:t>
            </w:r>
            <w:r>
              <w:rPr>
                <w:color w:val="0F1115"/>
                <w:spacing w:val="-2"/>
              </w:rPr>
              <w:t>AGC</w:t>
            </w:r>
          </w:p>
        </w:tc>
        <w:tc>
          <w:tcPr>
            <w:tcW w:w="0" w:type="auto"/>
            <w:tcBorders>
              <w:top w:val="nil"/>
              <w:left w:val="nil"/>
              <w:bottom w:val="nil"/>
              <w:right w:val="nil"/>
            </w:tcBorders>
            <w:tcMar>
              <w:top w:w="-1" w:type="dxa"/>
              <w:left w:w="-1" w:type="dxa"/>
              <w:bottom w:w="-1" w:type="dxa"/>
              <w:right w:w="-1" w:type="dxa"/>
            </w:tcMar>
            <w:vAlign w:val="center"/>
          </w:tcPr>
          <w:p w14:paraId="301310C8" w14:textId="77777777" w:rsidR="00196FE8" w:rsidRDefault="00D97C78">
            <w:pPr>
              <w:pStyle w:val="TableText"/>
              <w:spacing w:before="49"/>
              <w:jc w:val="center"/>
            </w:pPr>
            <w:r>
              <w:rPr>
                <w:color w:val="0F1115"/>
                <w:spacing w:val="-1"/>
              </w:rPr>
              <w:t>rs183352775</w:t>
            </w:r>
          </w:p>
        </w:tc>
        <w:tc>
          <w:tcPr>
            <w:tcW w:w="0" w:type="auto"/>
            <w:tcBorders>
              <w:top w:val="nil"/>
              <w:left w:val="nil"/>
              <w:bottom w:val="nil"/>
              <w:right w:val="nil"/>
            </w:tcBorders>
            <w:tcMar>
              <w:top w:w="-1" w:type="dxa"/>
              <w:left w:w="-1" w:type="dxa"/>
              <w:bottom w:w="-1" w:type="dxa"/>
              <w:right w:w="-1" w:type="dxa"/>
            </w:tcMar>
            <w:vAlign w:val="center"/>
          </w:tcPr>
          <w:p w14:paraId="6677863F" w14:textId="77777777" w:rsidR="00196FE8" w:rsidRDefault="00D97C78">
            <w:pPr>
              <w:pStyle w:val="TableText"/>
              <w:spacing w:before="49"/>
              <w:jc w:val="center"/>
            </w:pPr>
            <w:r>
              <w:rPr>
                <w:color w:val="0F1115"/>
                <w:spacing w:val="-2"/>
                <w:position w:val="1"/>
              </w:rPr>
              <w:t>3×10⁻¹⁹</w:t>
            </w:r>
          </w:p>
        </w:tc>
        <w:tc>
          <w:tcPr>
            <w:tcW w:w="0" w:type="auto"/>
            <w:tcBorders>
              <w:top w:val="nil"/>
              <w:left w:val="nil"/>
              <w:bottom w:val="nil"/>
              <w:right w:val="nil"/>
            </w:tcBorders>
            <w:tcMar>
              <w:top w:w="-1" w:type="dxa"/>
              <w:left w:w="-1" w:type="dxa"/>
              <w:bottom w:w="-1" w:type="dxa"/>
              <w:right w:w="-1" w:type="dxa"/>
            </w:tcMar>
            <w:vAlign w:val="center"/>
          </w:tcPr>
          <w:p w14:paraId="12660491" w14:textId="77777777" w:rsidR="00196FE8" w:rsidRDefault="00D97C78">
            <w:pPr>
              <w:pStyle w:val="TableText"/>
              <w:spacing w:before="49"/>
              <w:jc w:val="center"/>
            </w:pPr>
            <w:r>
              <w:rPr>
                <w:color w:val="0F1115"/>
                <w:spacing w:val="-1"/>
              </w:rPr>
              <w:t>Drug use</w:t>
            </w:r>
          </w:p>
          <w:p w14:paraId="6EC9F4CE" w14:textId="77777777" w:rsidR="00196FE8" w:rsidRDefault="00D97C78">
            <w:pPr>
              <w:pStyle w:val="TableText"/>
              <w:spacing w:before="38"/>
              <w:jc w:val="center"/>
            </w:pPr>
            <w:r>
              <w:rPr>
                <w:color w:val="0F1115"/>
                <w:spacing w:val="-1"/>
              </w:rPr>
              <w:t>(immunosuppressants)</w:t>
            </w:r>
          </w:p>
        </w:tc>
        <w:tc>
          <w:tcPr>
            <w:tcW w:w="3782" w:type="dxa"/>
            <w:tcBorders>
              <w:top w:val="nil"/>
              <w:left w:val="nil"/>
              <w:bottom w:val="nil"/>
              <w:right w:val="nil"/>
            </w:tcBorders>
            <w:tcMar>
              <w:top w:w="-1" w:type="dxa"/>
              <w:left w:w="-1" w:type="dxa"/>
              <w:bottom w:w="-1" w:type="dxa"/>
              <w:right w:w="-1" w:type="dxa"/>
            </w:tcMar>
            <w:vAlign w:val="center"/>
          </w:tcPr>
          <w:p w14:paraId="1EE3E759" w14:textId="77777777" w:rsidR="00196FE8" w:rsidRDefault="00D97C78">
            <w:pPr>
              <w:pStyle w:val="TableText"/>
              <w:spacing w:before="95"/>
              <w:jc w:val="center"/>
            </w:pPr>
            <w:r>
              <w:rPr>
                <w:color w:val="0F1115"/>
              </w:rPr>
              <w:t>These</w:t>
            </w:r>
            <w:r>
              <w:rPr>
                <w:color w:val="0F1115"/>
                <w:spacing w:val="10"/>
                <w:w w:val="102"/>
              </w:rPr>
              <w:t xml:space="preserve"> </w:t>
            </w:r>
            <w:r>
              <w:rPr>
                <w:color w:val="0F1115"/>
              </w:rPr>
              <w:t>SNPs do not in</w:t>
            </w:r>
            <w:r>
              <w:rPr>
                <w:color w:val="0F1115"/>
                <w:spacing w:val="-1"/>
              </w:rPr>
              <w:t>crease</w:t>
            </w:r>
            <w:r>
              <w:rPr>
                <w:color w:val="0F1115"/>
                <w:spacing w:val="10"/>
              </w:rPr>
              <w:t xml:space="preserve"> </w:t>
            </w:r>
            <w:r>
              <w:rPr>
                <w:color w:val="0F1115"/>
                <w:spacing w:val="-1"/>
              </w:rPr>
              <w:t>SLE risk but rather increase</w:t>
            </w:r>
            <w:r>
              <w:rPr>
                <w:rFonts w:hint="eastAsia"/>
                <w:color w:val="0F1115"/>
                <w:lang w:eastAsia="zh-CN"/>
              </w:rPr>
              <w:t xml:space="preserve"> </w:t>
            </w:r>
            <w:r>
              <w:rPr>
                <w:color w:val="0F1115"/>
              </w:rPr>
              <w:t>susceptibility to drug toxicity. Includin</w:t>
            </w:r>
            <w:r>
              <w:rPr>
                <w:color w:val="0F1115"/>
                <w:spacing w:val="-1"/>
              </w:rPr>
              <w:t>g them would mean</w:t>
            </w:r>
            <w:r>
              <w:rPr>
                <w:color w:val="0F1115"/>
              </w:rPr>
              <w:t xml:space="preserve"> the</w:t>
            </w:r>
            <w:r>
              <w:rPr>
                <w:color w:val="0F1115"/>
                <w:spacing w:val="11"/>
              </w:rPr>
              <w:t xml:space="preserve"> </w:t>
            </w:r>
            <w:r>
              <w:rPr>
                <w:color w:val="0F1115"/>
              </w:rPr>
              <w:t>“exposure” is not</w:t>
            </w:r>
            <w:r>
              <w:rPr>
                <w:color w:val="0F1115"/>
                <w:spacing w:val="12"/>
              </w:rPr>
              <w:t xml:space="preserve"> </w:t>
            </w:r>
            <w:r>
              <w:rPr>
                <w:color w:val="0F1115"/>
              </w:rPr>
              <w:t>SLE b</w:t>
            </w:r>
            <w:r>
              <w:rPr>
                <w:color w:val="0F1115"/>
                <w:spacing w:val="-1"/>
              </w:rPr>
              <w:t>ut “genetic susceptibility to high</w:t>
            </w:r>
            <w:r>
              <w:rPr>
                <w:color w:val="0F1115"/>
              </w:rPr>
              <w:t xml:space="preserve"> toxicity from SLE tre</w:t>
            </w:r>
            <w:r>
              <w:rPr>
                <w:color w:val="0F1115"/>
                <w:spacing w:val="-1"/>
              </w:rPr>
              <w:t>atment</w:t>
            </w:r>
            <w:r>
              <w:rPr>
                <w:color w:val="0F1115"/>
                <w:spacing w:val="4"/>
              </w:rPr>
              <w:t xml:space="preserve"> </w:t>
            </w:r>
            <w:r>
              <w:rPr>
                <w:color w:val="0F1115"/>
                <w:spacing w:val="-1"/>
              </w:rPr>
              <w:t>drugs”</w:t>
            </w:r>
          </w:p>
        </w:tc>
      </w:tr>
      <w:tr w:rsidR="00196FE8" w14:paraId="171278B8" w14:textId="77777777">
        <w:trPr>
          <w:tblHeader/>
          <w:jc w:val="center"/>
        </w:trPr>
        <w:tc>
          <w:tcPr>
            <w:tcW w:w="0" w:type="auto"/>
            <w:tcBorders>
              <w:top w:val="nil"/>
              <w:left w:val="nil"/>
              <w:bottom w:val="nil"/>
              <w:right w:val="nil"/>
            </w:tcBorders>
            <w:tcMar>
              <w:top w:w="-1" w:type="dxa"/>
              <w:left w:w="-1" w:type="dxa"/>
              <w:bottom w:w="-1" w:type="dxa"/>
              <w:right w:w="-1" w:type="dxa"/>
            </w:tcMar>
            <w:vAlign w:val="center"/>
          </w:tcPr>
          <w:p w14:paraId="2E3B864F" w14:textId="77777777" w:rsidR="00196FE8" w:rsidRDefault="00D97C78">
            <w:pPr>
              <w:pStyle w:val="TableText"/>
              <w:spacing w:before="49"/>
              <w:jc w:val="center"/>
            </w:pPr>
            <w:r>
              <w:rPr>
                <w:color w:val="0F1115"/>
                <w:spacing w:val="-2"/>
              </w:rPr>
              <w:t>SLE →</w:t>
            </w:r>
            <w:r>
              <w:rPr>
                <w:color w:val="0F1115"/>
                <w:spacing w:val="1"/>
              </w:rPr>
              <w:t xml:space="preserve"> </w:t>
            </w:r>
            <w:r>
              <w:rPr>
                <w:color w:val="0F1115"/>
                <w:spacing w:val="-2"/>
              </w:rPr>
              <w:t>AGC</w:t>
            </w:r>
          </w:p>
        </w:tc>
        <w:tc>
          <w:tcPr>
            <w:tcW w:w="0" w:type="auto"/>
            <w:tcBorders>
              <w:top w:val="nil"/>
              <w:left w:val="nil"/>
              <w:bottom w:val="nil"/>
              <w:right w:val="nil"/>
            </w:tcBorders>
            <w:tcMar>
              <w:top w:w="-1" w:type="dxa"/>
              <w:left w:w="-1" w:type="dxa"/>
              <w:bottom w:w="-1" w:type="dxa"/>
              <w:right w:w="-1" w:type="dxa"/>
            </w:tcMar>
            <w:vAlign w:val="center"/>
          </w:tcPr>
          <w:p w14:paraId="3C9C5B04" w14:textId="77777777" w:rsidR="00196FE8" w:rsidRDefault="00D97C78">
            <w:pPr>
              <w:pStyle w:val="TableText"/>
              <w:spacing w:before="49"/>
              <w:jc w:val="center"/>
            </w:pPr>
            <w:r>
              <w:rPr>
                <w:color w:val="0F1115"/>
              </w:rPr>
              <w:t>rs2230429</w:t>
            </w:r>
          </w:p>
        </w:tc>
        <w:tc>
          <w:tcPr>
            <w:tcW w:w="0" w:type="auto"/>
            <w:tcBorders>
              <w:top w:val="nil"/>
              <w:left w:val="nil"/>
              <w:bottom w:val="nil"/>
              <w:right w:val="nil"/>
            </w:tcBorders>
            <w:tcMar>
              <w:top w:w="-1" w:type="dxa"/>
              <w:left w:w="-1" w:type="dxa"/>
              <w:bottom w:w="-1" w:type="dxa"/>
              <w:right w:w="-1" w:type="dxa"/>
            </w:tcMar>
            <w:vAlign w:val="center"/>
          </w:tcPr>
          <w:p w14:paraId="555C8BE2" w14:textId="77777777" w:rsidR="00196FE8" w:rsidRDefault="00D97C78">
            <w:pPr>
              <w:pStyle w:val="TableText"/>
              <w:spacing w:before="49"/>
              <w:jc w:val="center"/>
            </w:pPr>
            <w:r>
              <w:rPr>
                <w:color w:val="0F1115"/>
                <w:spacing w:val="-3"/>
                <w:position w:val="1"/>
              </w:rPr>
              <w:t>1×10⁻³⁶</w:t>
            </w:r>
          </w:p>
        </w:tc>
        <w:tc>
          <w:tcPr>
            <w:tcW w:w="0" w:type="auto"/>
            <w:tcBorders>
              <w:top w:val="nil"/>
              <w:left w:val="nil"/>
              <w:bottom w:val="nil"/>
              <w:right w:val="nil"/>
            </w:tcBorders>
            <w:tcMar>
              <w:top w:w="-1" w:type="dxa"/>
              <w:left w:w="-1" w:type="dxa"/>
              <w:bottom w:w="-1" w:type="dxa"/>
              <w:right w:w="-1" w:type="dxa"/>
            </w:tcMar>
            <w:vAlign w:val="center"/>
          </w:tcPr>
          <w:p w14:paraId="5A6F385D" w14:textId="77777777" w:rsidR="00196FE8" w:rsidRDefault="00D97C78">
            <w:pPr>
              <w:pStyle w:val="TableText"/>
              <w:spacing w:before="49"/>
              <w:jc w:val="center"/>
            </w:pPr>
            <w:r>
              <w:rPr>
                <w:color w:val="0F1115"/>
                <w:spacing w:val="-1"/>
              </w:rPr>
              <w:t>Tinea corporis / Mycosis</w:t>
            </w:r>
          </w:p>
          <w:p w14:paraId="77D22AC3" w14:textId="77777777" w:rsidR="00196FE8" w:rsidRDefault="00D97C78">
            <w:pPr>
              <w:pStyle w:val="TableText"/>
              <w:spacing w:before="38"/>
              <w:jc w:val="center"/>
            </w:pPr>
            <w:r>
              <w:rPr>
                <w:color w:val="0F1115"/>
                <w:spacing w:val="-3"/>
              </w:rPr>
              <w:t>(PheCode</w:t>
            </w:r>
            <w:r>
              <w:rPr>
                <w:color w:val="0F1115"/>
                <w:spacing w:val="27"/>
              </w:rPr>
              <w:t xml:space="preserve"> </w:t>
            </w:r>
            <w:r>
              <w:rPr>
                <w:color w:val="0F1115"/>
                <w:spacing w:val="-3"/>
              </w:rPr>
              <w:t>110)</w:t>
            </w:r>
          </w:p>
        </w:tc>
        <w:tc>
          <w:tcPr>
            <w:tcW w:w="3782" w:type="dxa"/>
            <w:tcBorders>
              <w:top w:val="nil"/>
              <w:left w:val="nil"/>
              <w:bottom w:val="nil"/>
              <w:right w:val="nil"/>
            </w:tcBorders>
            <w:tcMar>
              <w:top w:w="-1" w:type="dxa"/>
              <w:left w:w="-1" w:type="dxa"/>
              <w:bottom w:w="-1" w:type="dxa"/>
              <w:right w:w="-1" w:type="dxa"/>
            </w:tcMar>
            <w:vAlign w:val="center"/>
          </w:tcPr>
          <w:p w14:paraId="2B0FC558" w14:textId="77777777" w:rsidR="00196FE8" w:rsidRDefault="00D97C78">
            <w:pPr>
              <w:pStyle w:val="TableText"/>
              <w:spacing w:before="96"/>
              <w:jc w:val="center"/>
              <w:rPr>
                <w:lang w:eastAsia="zh-CN"/>
              </w:rPr>
            </w:pPr>
            <w:r>
              <w:rPr>
                <w:color w:val="0F1115"/>
              </w:rPr>
              <w:t>Infection is both a common cause of</w:t>
            </w:r>
            <w:r>
              <w:rPr>
                <w:color w:val="0F1115"/>
                <w:spacing w:val="-17"/>
              </w:rPr>
              <w:t xml:space="preserve"> </w:t>
            </w:r>
            <w:r>
              <w:rPr>
                <w:color w:val="0F1115"/>
              </w:rPr>
              <w:t>AGC</w:t>
            </w:r>
            <w:r>
              <w:rPr>
                <w:color w:val="0F1115"/>
                <w:spacing w:val="7"/>
              </w:rPr>
              <w:t xml:space="preserve"> </w:t>
            </w:r>
            <w:r>
              <w:rPr>
                <w:color w:val="0F1115"/>
              </w:rPr>
              <w:t>(viral marr</w:t>
            </w:r>
            <w:r>
              <w:rPr>
                <w:color w:val="0F1115"/>
                <w:spacing w:val="-1"/>
              </w:rPr>
              <w:t>ow</w:t>
            </w:r>
            <w:r>
              <w:rPr>
                <w:rFonts w:hint="eastAsia"/>
                <w:color w:val="0F1115"/>
                <w:lang w:eastAsia="zh-CN"/>
              </w:rPr>
              <w:t xml:space="preserve"> </w:t>
            </w:r>
            <w:r>
              <w:rPr>
                <w:color w:val="0F1115"/>
              </w:rPr>
              <w:t>suppression) and a co</w:t>
            </w:r>
            <w:r>
              <w:rPr>
                <w:color w:val="0F1115"/>
                <w:spacing w:val="-1"/>
              </w:rPr>
              <w:t>nsequence (occurring</w:t>
            </w:r>
            <w:r>
              <w:rPr>
                <w:color w:val="0F1115"/>
                <w:spacing w:val="5"/>
              </w:rPr>
              <w:t xml:space="preserve"> </w:t>
            </w:r>
            <w:r>
              <w:rPr>
                <w:color w:val="0F1115"/>
                <w:spacing w:val="-1"/>
              </w:rPr>
              <w:t>due</w:t>
            </w:r>
            <w:r>
              <w:rPr>
                <w:color w:val="0F1115"/>
                <w:spacing w:val="4"/>
              </w:rPr>
              <w:t xml:space="preserve"> </w:t>
            </w:r>
            <w:r>
              <w:rPr>
                <w:color w:val="0F1115"/>
                <w:spacing w:val="-1"/>
              </w:rPr>
              <w:t>to</w:t>
            </w:r>
            <w:r>
              <w:rPr>
                <w:rFonts w:hint="eastAsia"/>
                <w:color w:val="0F1115"/>
                <w:lang w:eastAsia="zh-CN"/>
              </w:rPr>
              <w:t xml:space="preserve"> </w:t>
            </w:r>
            <w:r>
              <w:rPr>
                <w:color w:val="0F1115"/>
              </w:rPr>
              <w:t>granulocyte deficiency). If</w:t>
            </w:r>
            <w:r>
              <w:rPr>
                <w:color w:val="0F1115"/>
                <w:spacing w:val="-10"/>
              </w:rPr>
              <w:t xml:space="preserve"> </w:t>
            </w:r>
            <w:r>
              <w:rPr>
                <w:color w:val="0F1115"/>
              </w:rPr>
              <w:t xml:space="preserve">an SNP increases </w:t>
            </w:r>
            <w:r>
              <w:rPr>
                <w:color w:val="0F1115"/>
                <w:spacing w:val="-1"/>
              </w:rPr>
              <w:t>both SLE</w:t>
            </w:r>
            <w:r>
              <w:rPr>
                <w:color w:val="0F1115"/>
                <w:spacing w:val="6"/>
              </w:rPr>
              <w:t xml:space="preserve"> </w:t>
            </w:r>
            <w:r>
              <w:rPr>
                <w:color w:val="0F1115"/>
                <w:spacing w:val="-1"/>
              </w:rPr>
              <w:t>and</w:t>
            </w:r>
            <w:r>
              <w:rPr>
                <w:color w:val="0F1115"/>
              </w:rPr>
              <w:t xml:space="preserve"> specific infection risk, we cannot distinguish </w:t>
            </w:r>
            <w:r>
              <w:rPr>
                <w:color w:val="0F1115"/>
                <w:spacing w:val="-1"/>
              </w:rPr>
              <w:t>whether the</w:t>
            </w:r>
            <w:r>
              <w:rPr>
                <w:color w:val="0F1115"/>
              </w:rPr>
              <w:t xml:space="preserve"> resulting AGC stems from the infection itse</w:t>
            </w:r>
            <w:r>
              <w:rPr>
                <w:color w:val="0F1115"/>
                <w:spacing w:val="-1"/>
              </w:rPr>
              <w:t>lf</w:t>
            </w:r>
            <w:r>
              <w:rPr>
                <w:color w:val="0F1115"/>
                <w:spacing w:val="-15"/>
              </w:rPr>
              <w:t xml:space="preserve"> </w:t>
            </w:r>
            <w:r>
              <w:rPr>
                <w:color w:val="0F1115"/>
                <w:spacing w:val="-1"/>
              </w:rPr>
              <w:t>or</w:t>
            </w:r>
            <w:r>
              <w:rPr>
                <w:color w:val="0F1115"/>
                <w:spacing w:val="12"/>
              </w:rPr>
              <w:t xml:space="preserve"> </w:t>
            </w:r>
            <w:r>
              <w:rPr>
                <w:color w:val="0F1115"/>
                <w:spacing w:val="-1"/>
              </w:rPr>
              <w:t>SLE,</w:t>
            </w:r>
            <w:r>
              <w:rPr>
                <w:rFonts w:hint="eastAsia"/>
                <w:color w:val="0F1115"/>
                <w:lang w:eastAsia="zh-CN"/>
              </w:rPr>
              <w:t xml:space="preserve"> </w:t>
            </w:r>
            <w:r>
              <w:rPr>
                <w:color w:val="0F1115"/>
              </w:rPr>
              <w:t>representing strong pleiot</w:t>
            </w:r>
            <w:r>
              <w:rPr>
                <w:color w:val="0F1115"/>
                <w:spacing w:val="-1"/>
              </w:rPr>
              <w:t>ropy</w:t>
            </w:r>
          </w:p>
        </w:tc>
      </w:tr>
      <w:tr w:rsidR="00196FE8" w14:paraId="2A15D02F" w14:textId="77777777">
        <w:trPr>
          <w:tblHeader/>
          <w:jc w:val="center"/>
        </w:trPr>
        <w:tc>
          <w:tcPr>
            <w:tcW w:w="0" w:type="auto"/>
            <w:tcBorders>
              <w:top w:val="nil"/>
              <w:left w:val="nil"/>
              <w:bottom w:val="nil"/>
              <w:right w:val="nil"/>
            </w:tcBorders>
            <w:tcMar>
              <w:top w:w="-1" w:type="dxa"/>
              <w:left w:w="-1" w:type="dxa"/>
              <w:bottom w:w="-1" w:type="dxa"/>
              <w:right w:w="-1" w:type="dxa"/>
            </w:tcMar>
            <w:vAlign w:val="center"/>
          </w:tcPr>
          <w:p w14:paraId="3AADE3B7" w14:textId="77777777" w:rsidR="00196FE8" w:rsidRDefault="00D97C78">
            <w:pPr>
              <w:pStyle w:val="TableText"/>
              <w:spacing w:before="198"/>
              <w:jc w:val="center"/>
            </w:pPr>
            <w:r>
              <w:rPr>
                <w:color w:val="0F1115"/>
                <w:spacing w:val="-2"/>
              </w:rPr>
              <w:t>SLE →</w:t>
            </w:r>
            <w:r>
              <w:rPr>
                <w:color w:val="0F1115"/>
                <w:spacing w:val="1"/>
              </w:rPr>
              <w:t xml:space="preserve"> </w:t>
            </w:r>
            <w:r>
              <w:rPr>
                <w:color w:val="0F1115"/>
                <w:spacing w:val="-2"/>
              </w:rPr>
              <w:t>AGC</w:t>
            </w:r>
          </w:p>
        </w:tc>
        <w:tc>
          <w:tcPr>
            <w:tcW w:w="0" w:type="auto"/>
            <w:tcBorders>
              <w:top w:val="nil"/>
              <w:left w:val="nil"/>
              <w:bottom w:val="nil"/>
              <w:right w:val="nil"/>
            </w:tcBorders>
            <w:tcMar>
              <w:top w:w="-1" w:type="dxa"/>
              <w:left w:w="-1" w:type="dxa"/>
              <w:bottom w:w="-1" w:type="dxa"/>
              <w:right w:w="-1" w:type="dxa"/>
            </w:tcMar>
            <w:vAlign w:val="center"/>
          </w:tcPr>
          <w:p w14:paraId="3C05B826" w14:textId="77777777" w:rsidR="00196FE8" w:rsidRDefault="00D97C78">
            <w:pPr>
              <w:pStyle w:val="TableText"/>
              <w:spacing w:before="198"/>
              <w:jc w:val="center"/>
            </w:pPr>
            <w:r>
              <w:rPr>
                <w:color w:val="0F1115"/>
                <w:spacing w:val="-1"/>
              </w:rPr>
              <w:t>rs597808</w:t>
            </w:r>
          </w:p>
        </w:tc>
        <w:tc>
          <w:tcPr>
            <w:tcW w:w="0" w:type="auto"/>
            <w:tcBorders>
              <w:top w:val="nil"/>
              <w:left w:val="nil"/>
              <w:bottom w:val="nil"/>
              <w:right w:val="nil"/>
            </w:tcBorders>
            <w:tcMar>
              <w:top w:w="-1" w:type="dxa"/>
              <w:left w:w="-1" w:type="dxa"/>
              <w:bottom w:w="-1" w:type="dxa"/>
              <w:right w:w="-1" w:type="dxa"/>
            </w:tcMar>
            <w:vAlign w:val="center"/>
          </w:tcPr>
          <w:p w14:paraId="42766D62" w14:textId="77777777" w:rsidR="00196FE8" w:rsidRDefault="00D97C78">
            <w:pPr>
              <w:pStyle w:val="TableText"/>
              <w:spacing w:before="138"/>
              <w:jc w:val="center"/>
            </w:pPr>
            <w:r>
              <w:rPr>
                <w:color w:val="0F1115"/>
                <w:spacing w:val="-2"/>
                <w:position w:val="1"/>
              </w:rPr>
              <w:t>7×10⁻⁹</w:t>
            </w:r>
          </w:p>
        </w:tc>
        <w:tc>
          <w:tcPr>
            <w:tcW w:w="0" w:type="auto"/>
            <w:tcBorders>
              <w:top w:val="nil"/>
              <w:left w:val="nil"/>
              <w:bottom w:val="nil"/>
              <w:right w:val="nil"/>
            </w:tcBorders>
            <w:tcMar>
              <w:top w:w="-1" w:type="dxa"/>
              <w:left w:w="-1" w:type="dxa"/>
              <w:bottom w:w="-1" w:type="dxa"/>
              <w:right w:w="-1" w:type="dxa"/>
            </w:tcMar>
            <w:vAlign w:val="center"/>
          </w:tcPr>
          <w:p w14:paraId="544F31CD" w14:textId="77777777" w:rsidR="00196FE8" w:rsidRDefault="00D97C78">
            <w:pPr>
              <w:pStyle w:val="TableText"/>
              <w:spacing w:before="196"/>
              <w:jc w:val="center"/>
            </w:pPr>
            <w:r>
              <w:rPr>
                <w:color w:val="0F1115"/>
                <w:spacing w:val="-1"/>
              </w:rPr>
              <w:t>Rheumatoid arthritis</w:t>
            </w:r>
          </w:p>
        </w:tc>
        <w:tc>
          <w:tcPr>
            <w:tcW w:w="3782" w:type="dxa"/>
            <w:tcBorders>
              <w:top w:val="nil"/>
              <w:left w:val="nil"/>
              <w:bottom w:val="nil"/>
              <w:right w:val="nil"/>
            </w:tcBorders>
            <w:tcMar>
              <w:top w:w="-1" w:type="dxa"/>
              <w:left w:w="-1" w:type="dxa"/>
              <w:bottom w:w="-1" w:type="dxa"/>
              <w:right w:w="-1" w:type="dxa"/>
            </w:tcMar>
            <w:vAlign w:val="center"/>
          </w:tcPr>
          <w:p w14:paraId="7D366035" w14:textId="77777777" w:rsidR="00196FE8" w:rsidRDefault="00D97C78">
            <w:pPr>
              <w:pStyle w:val="TableText"/>
              <w:spacing w:before="97"/>
              <w:jc w:val="center"/>
              <w:rPr>
                <w:lang w:eastAsia="zh-CN"/>
              </w:rPr>
            </w:pPr>
            <w:r>
              <w:rPr>
                <w:color w:val="0F1115"/>
              </w:rPr>
              <w:t>These diseases also commonly use immun</w:t>
            </w:r>
            <w:r>
              <w:rPr>
                <w:color w:val="0F1115"/>
                <w:spacing w:val="-1"/>
              </w:rPr>
              <w:t>osuppressants</w:t>
            </w:r>
            <w:r>
              <w:rPr>
                <w:color w:val="0F1115"/>
              </w:rPr>
              <w:t xml:space="preserve"> (e.g., methotrexate for RA) that</w:t>
            </w:r>
            <w:r>
              <w:rPr>
                <w:color w:val="0F1115"/>
                <w:spacing w:val="-1"/>
              </w:rPr>
              <w:t xml:space="preserve"> may cause AGC</w:t>
            </w:r>
          </w:p>
        </w:tc>
      </w:tr>
      <w:tr w:rsidR="00196FE8" w14:paraId="7AFC7B9E" w14:textId="77777777">
        <w:trPr>
          <w:tblHeader/>
          <w:jc w:val="center"/>
        </w:trPr>
        <w:tc>
          <w:tcPr>
            <w:tcW w:w="0" w:type="auto"/>
            <w:tcBorders>
              <w:top w:val="nil"/>
              <w:left w:val="nil"/>
              <w:bottom w:val="nil"/>
              <w:right w:val="nil"/>
            </w:tcBorders>
            <w:tcMar>
              <w:top w:w="-1" w:type="dxa"/>
              <w:left w:w="-1" w:type="dxa"/>
              <w:bottom w:w="-1" w:type="dxa"/>
              <w:right w:w="-1" w:type="dxa"/>
            </w:tcMar>
            <w:vAlign w:val="center"/>
          </w:tcPr>
          <w:p w14:paraId="21E06987" w14:textId="77777777" w:rsidR="00196FE8" w:rsidRDefault="00D97C78">
            <w:pPr>
              <w:pStyle w:val="TableText"/>
              <w:spacing w:before="49"/>
              <w:jc w:val="center"/>
            </w:pPr>
            <w:r>
              <w:rPr>
                <w:color w:val="0F1115"/>
                <w:spacing w:val="-4"/>
              </w:rPr>
              <w:t>ITP</w:t>
            </w:r>
            <w:r>
              <w:rPr>
                <w:color w:val="0F1115"/>
                <w:spacing w:val="11"/>
                <w:w w:val="101"/>
              </w:rPr>
              <w:t xml:space="preserve"> </w:t>
            </w:r>
            <w:r>
              <w:rPr>
                <w:color w:val="0F1115"/>
                <w:spacing w:val="-4"/>
              </w:rPr>
              <w:t>→</w:t>
            </w:r>
            <w:r>
              <w:rPr>
                <w:color w:val="0F1115"/>
                <w:spacing w:val="11"/>
                <w:w w:val="101"/>
              </w:rPr>
              <w:t xml:space="preserve"> </w:t>
            </w:r>
            <w:r>
              <w:rPr>
                <w:color w:val="0F1115"/>
                <w:spacing w:val="-4"/>
              </w:rPr>
              <w:t>SLE</w:t>
            </w:r>
          </w:p>
        </w:tc>
        <w:tc>
          <w:tcPr>
            <w:tcW w:w="0" w:type="auto"/>
            <w:tcBorders>
              <w:top w:val="nil"/>
              <w:left w:val="nil"/>
              <w:bottom w:val="nil"/>
              <w:right w:val="nil"/>
            </w:tcBorders>
            <w:tcMar>
              <w:top w:w="-1" w:type="dxa"/>
              <w:left w:w="-1" w:type="dxa"/>
              <w:bottom w:w="-1" w:type="dxa"/>
              <w:right w:w="-1" w:type="dxa"/>
            </w:tcMar>
            <w:vAlign w:val="center"/>
          </w:tcPr>
          <w:p w14:paraId="393D1A57" w14:textId="77777777" w:rsidR="00196FE8" w:rsidRDefault="00D97C78">
            <w:pPr>
              <w:pStyle w:val="TableText"/>
              <w:spacing w:before="49"/>
              <w:jc w:val="center"/>
            </w:pPr>
            <w:r>
              <w:rPr>
                <w:color w:val="0F1115"/>
              </w:rPr>
              <w:t>rs2453237</w:t>
            </w:r>
          </w:p>
        </w:tc>
        <w:tc>
          <w:tcPr>
            <w:tcW w:w="0" w:type="auto"/>
            <w:tcBorders>
              <w:top w:val="nil"/>
              <w:left w:val="nil"/>
              <w:bottom w:val="nil"/>
              <w:right w:val="nil"/>
            </w:tcBorders>
            <w:tcMar>
              <w:top w:w="-1" w:type="dxa"/>
              <w:left w:w="-1" w:type="dxa"/>
              <w:bottom w:w="-1" w:type="dxa"/>
              <w:right w:w="-1" w:type="dxa"/>
            </w:tcMar>
            <w:vAlign w:val="center"/>
          </w:tcPr>
          <w:p w14:paraId="78283B37" w14:textId="77777777" w:rsidR="00196FE8" w:rsidRDefault="00D97C78">
            <w:pPr>
              <w:pStyle w:val="TableText"/>
              <w:spacing w:before="49"/>
              <w:jc w:val="center"/>
            </w:pPr>
            <w:r>
              <w:rPr>
                <w:color w:val="0F1115"/>
                <w:spacing w:val="-3"/>
                <w:position w:val="1"/>
              </w:rPr>
              <w:t>1×10⁻²²</w:t>
            </w:r>
          </w:p>
        </w:tc>
        <w:tc>
          <w:tcPr>
            <w:tcW w:w="0" w:type="auto"/>
            <w:tcBorders>
              <w:top w:val="nil"/>
              <w:left w:val="nil"/>
              <w:bottom w:val="nil"/>
              <w:right w:val="nil"/>
            </w:tcBorders>
            <w:tcMar>
              <w:top w:w="-1" w:type="dxa"/>
              <w:left w:w="-1" w:type="dxa"/>
              <w:bottom w:w="-1" w:type="dxa"/>
              <w:right w:w="-1" w:type="dxa"/>
            </w:tcMar>
            <w:vAlign w:val="center"/>
          </w:tcPr>
          <w:p w14:paraId="3A74B55A" w14:textId="77777777" w:rsidR="00196FE8" w:rsidRDefault="00D97C78">
            <w:pPr>
              <w:pStyle w:val="TableText"/>
              <w:spacing w:before="49"/>
              <w:jc w:val="center"/>
            </w:pPr>
            <w:r>
              <w:rPr>
                <w:color w:val="0F1115"/>
                <w:spacing w:val="-1"/>
              </w:rPr>
              <w:t>Eosinophil count</w:t>
            </w:r>
          </w:p>
        </w:tc>
        <w:tc>
          <w:tcPr>
            <w:tcW w:w="3782" w:type="dxa"/>
            <w:tcBorders>
              <w:top w:val="nil"/>
              <w:left w:val="nil"/>
              <w:bottom w:val="nil"/>
              <w:right w:val="nil"/>
            </w:tcBorders>
            <w:tcMar>
              <w:top w:w="-1" w:type="dxa"/>
              <w:left w:w="-1" w:type="dxa"/>
              <w:bottom w:w="-1" w:type="dxa"/>
              <w:right w:w="-1" w:type="dxa"/>
            </w:tcMar>
            <w:vAlign w:val="center"/>
          </w:tcPr>
          <w:p w14:paraId="74584FDB" w14:textId="77777777" w:rsidR="00196FE8" w:rsidRDefault="00D97C78">
            <w:pPr>
              <w:pStyle w:val="TableText"/>
              <w:spacing w:before="99"/>
              <w:jc w:val="center"/>
              <w:rPr>
                <w:lang w:eastAsia="zh-CN"/>
              </w:rPr>
            </w:pPr>
            <w:r>
              <w:rPr>
                <w:color w:val="0F1115"/>
              </w:rPr>
              <w:t>Eosinophils are primarily driven by Th2 imm</w:t>
            </w:r>
            <w:r>
              <w:rPr>
                <w:color w:val="0F1115"/>
                <w:spacing w:val="-1"/>
              </w:rPr>
              <w:t>une responses</w:t>
            </w:r>
            <w:r>
              <w:rPr>
                <w:color w:val="0F1115"/>
              </w:rPr>
              <w:t xml:space="preserve"> (e.g., IL-5), classically involved in parasitic </w:t>
            </w:r>
            <w:r>
              <w:rPr>
                <w:color w:val="0F1115"/>
                <w:spacing w:val="-1"/>
              </w:rPr>
              <w:t>infections and</w:t>
            </w:r>
            <w:r>
              <w:rPr>
                <w:color w:val="0F1115"/>
              </w:rPr>
              <w:t xml:space="preserve"> allergic diseases, representing a confo</w:t>
            </w:r>
            <w:r>
              <w:rPr>
                <w:color w:val="0F1115"/>
                <w:spacing w:val="-1"/>
              </w:rPr>
              <w:t>unding pathway</w:t>
            </w:r>
            <w:r>
              <w:rPr>
                <w:rFonts w:hint="eastAsia"/>
                <w:color w:val="0F1115"/>
                <w:lang w:eastAsia="zh-CN"/>
              </w:rPr>
              <w:t xml:space="preserve"> </w:t>
            </w:r>
            <w:r>
              <w:rPr>
                <w:color w:val="0F1115"/>
              </w:rPr>
              <w:t>independent of</w:t>
            </w:r>
            <w:r>
              <w:rPr>
                <w:color w:val="0F1115"/>
                <w:spacing w:val="-12"/>
              </w:rPr>
              <w:t xml:space="preserve"> </w:t>
            </w:r>
            <w:r>
              <w:rPr>
                <w:color w:val="0F1115"/>
              </w:rPr>
              <w:t>core autoimmunity</w:t>
            </w:r>
          </w:p>
        </w:tc>
      </w:tr>
      <w:tr w:rsidR="00196FE8" w14:paraId="666842E2" w14:textId="77777777">
        <w:trPr>
          <w:tblHeader/>
          <w:jc w:val="center"/>
        </w:trPr>
        <w:tc>
          <w:tcPr>
            <w:tcW w:w="0" w:type="auto"/>
            <w:tcBorders>
              <w:top w:val="nil"/>
              <w:left w:val="nil"/>
              <w:bottom w:val="nil"/>
              <w:right w:val="nil"/>
            </w:tcBorders>
            <w:tcMar>
              <w:top w:w="-1" w:type="dxa"/>
              <w:left w:w="-1" w:type="dxa"/>
              <w:bottom w:w="-1" w:type="dxa"/>
              <w:right w:w="-1" w:type="dxa"/>
            </w:tcMar>
            <w:vAlign w:val="center"/>
          </w:tcPr>
          <w:p w14:paraId="431F4E5D" w14:textId="77777777" w:rsidR="00196FE8" w:rsidRDefault="00D97C78">
            <w:pPr>
              <w:pStyle w:val="TableText"/>
              <w:spacing w:before="49"/>
              <w:jc w:val="center"/>
            </w:pPr>
            <w:r>
              <w:rPr>
                <w:color w:val="0F1115"/>
                <w:spacing w:val="-4"/>
              </w:rPr>
              <w:t>ITP</w:t>
            </w:r>
            <w:r>
              <w:rPr>
                <w:color w:val="0F1115"/>
                <w:spacing w:val="11"/>
                <w:w w:val="101"/>
              </w:rPr>
              <w:t xml:space="preserve"> </w:t>
            </w:r>
            <w:r>
              <w:rPr>
                <w:color w:val="0F1115"/>
                <w:spacing w:val="-4"/>
              </w:rPr>
              <w:t>→</w:t>
            </w:r>
            <w:r>
              <w:rPr>
                <w:color w:val="0F1115"/>
                <w:spacing w:val="11"/>
                <w:w w:val="101"/>
              </w:rPr>
              <w:t xml:space="preserve"> </w:t>
            </w:r>
            <w:r>
              <w:rPr>
                <w:color w:val="0F1115"/>
                <w:spacing w:val="-4"/>
              </w:rPr>
              <w:t>SLE</w:t>
            </w:r>
          </w:p>
        </w:tc>
        <w:tc>
          <w:tcPr>
            <w:tcW w:w="0" w:type="auto"/>
            <w:tcBorders>
              <w:top w:val="nil"/>
              <w:left w:val="nil"/>
              <w:bottom w:val="nil"/>
              <w:right w:val="nil"/>
            </w:tcBorders>
            <w:tcMar>
              <w:top w:w="-1" w:type="dxa"/>
              <w:left w:w="-1" w:type="dxa"/>
              <w:bottom w:w="-1" w:type="dxa"/>
              <w:right w:w="-1" w:type="dxa"/>
            </w:tcMar>
            <w:vAlign w:val="center"/>
          </w:tcPr>
          <w:p w14:paraId="230E2A44" w14:textId="77777777" w:rsidR="00196FE8" w:rsidRDefault="00D97C78">
            <w:pPr>
              <w:pStyle w:val="TableText"/>
              <w:spacing w:before="49"/>
              <w:jc w:val="center"/>
            </w:pPr>
            <w:r>
              <w:rPr>
                <w:color w:val="0F1115"/>
              </w:rPr>
              <w:t>rs2923778</w:t>
            </w:r>
          </w:p>
        </w:tc>
        <w:tc>
          <w:tcPr>
            <w:tcW w:w="0" w:type="auto"/>
            <w:tcBorders>
              <w:top w:val="nil"/>
              <w:left w:val="nil"/>
              <w:bottom w:val="nil"/>
              <w:right w:val="nil"/>
            </w:tcBorders>
            <w:tcMar>
              <w:top w:w="-1" w:type="dxa"/>
              <w:left w:w="-1" w:type="dxa"/>
              <w:bottom w:w="-1" w:type="dxa"/>
              <w:right w:w="-1" w:type="dxa"/>
            </w:tcMar>
            <w:vAlign w:val="center"/>
          </w:tcPr>
          <w:p w14:paraId="71783C6E" w14:textId="77777777" w:rsidR="00196FE8" w:rsidRDefault="00D97C78">
            <w:pPr>
              <w:pStyle w:val="TableText"/>
              <w:spacing w:before="237"/>
              <w:jc w:val="center"/>
            </w:pPr>
            <w:r>
              <w:rPr>
                <w:color w:val="0F1115"/>
                <w:spacing w:val="-2"/>
                <w:position w:val="1"/>
              </w:rPr>
              <w:t>5×10⁻⁶</w:t>
            </w:r>
          </w:p>
        </w:tc>
        <w:tc>
          <w:tcPr>
            <w:tcW w:w="0" w:type="auto"/>
            <w:tcBorders>
              <w:top w:val="nil"/>
              <w:left w:val="nil"/>
              <w:bottom w:val="nil"/>
              <w:right w:val="nil"/>
            </w:tcBorders>
            <w:tcMar>
              <w:top w:w="-1" w:type="dxa"/>
              <w:left w:w="-1" w:type="dxa"/>
              <w:bottom w:w="-1" w:type="dxa"/>
              <w:right w:w="-1" w:type="dxa"/>
            </w:tcMar>
            <w:vAlign w:val="center"/>
          </w:tcPr>
          <w:p w14:paraId="2CB33DF9" w14:textId="77777777" w:rsidR="00196FE8" w:rsidRDefault="00D97C78">
            <w:pPr>
              <w:pStyle w:val="TableText"/>
              <w:spacing w:before="49"/>
              <w:jc w:val="center"/>
            </w:pPr>
            <w:r>
              <w:rPr>
                <w:color w:val="0F1115"/>
                <w:spacing w:val="-1"/>
              </w:rPr>
              <w:t>Homocysteine level</w:t>
            </w:r>
          </w:p>
        </w:tc>
        <w:tc>
          <w:tcPr>
            <w:tcW w:w="3782" w:type="dxa"/>
            <w:tcBorders>
              <w:top w:val="nil"/>
              <w:left w:val="nil"/>
              <w:bottom w:val="nil"/>
              <w:right w:val="nil"/>
            </w:tcBorders>
            <w:tcMar>
              <w:top w:w="-1" w:type="dxa"/>
              <w:left w:w="-1" w:type="dxa"/>
              <w:bottom w:w="-1" w:type="dxa"/>
              <w:right w:w="-1" w:type="dxa"/>
            </w:tcMar>
            <w:vAlign w:val="center"/>
          </w:tcPr>
          <w:p w14:paraId="5ECFD697" w14:textId="77777777" w:rsidR="00196FE8" w:rsidRDefault="00D97C78">
            <w:pPr>
              <w:pStyle w:val="TableText"/>
              <w:spacing w:before="99"/>
              <w:jc w:val="center"/>
              <w:rPr>
                <w:lang w:eastAsia="zh-CN"/>
              </w:rPr>
            </w:pPr>
            <w:r>
              <w:rPr>
                <w:color w:val="0F1115"/>
              </w:rPr>
              <w:t>This association may reflect a confounding g</w:t>
            </w:r>
            <w:r>
              <w:rPr>
                <w:color w:val="0F1115"/>
                <w:spacing w:val="-1"/>
              </w:rPr>
              <w:t>enetic pathway</w:t>
            </w:r>
            <w:r>
              <w:rPr>
                <w:color w:val="0F1115"/>
              </w:rPr>
              <w:t xml:space="preserve"> independent of</w:t>
            </w:r>
            <w:r>
              <w:rPr>
                <w:color w:val="0F1115"/>
                <w:spacing w:val="-12"/>
              </w:rPr>
              <w:t xml:space="preserve"> </w:t>
            </w:r>
            <w:r>
              <w:rPr>
                <w:color w:val="0F1115"/>
              </w:rPr>
              <w:t>core autoimmune pathways (e.g., imm</w:t>
            </w:r>
            <w:r>
              <w:rPr>
                <w:color w:val="0F1115"/>
                <w:spacing w:val="-1"/>
              </w:rPr>
              <w:t>une</w:t>
            </w:r>
            <w:r>
              <w:rPr>
                <w:rFonts w:hint="eastAsia"/>
                <w:color w:val="0F1115"/>
                <w:lang w:eastAsia="zh-CN"/>
              </w:rPr>
              <w:t xml:space="preserve"> </w:t>
            </w:r>
            <w:r>
              <w:rPr>
                <w:color w:val="0F1115"/>
              </w:rPr>
              <w:t>dysregulation targeting platelets or nuclear antigens</w:t>
            </w:r>
            <w:r>
              <w:rPr>
                <w:color w:val="0F1115"/>
                <w:spacing w:val="-1"/>
              </w:rPr>
              <w:t>)</w:t>
            </w:r>
          </w:p>
        </w:tc>
      </w:tr>
      <w:tr w:rsidR="00196FE8" w14:paraId="254F9F8D" w14:textId="77777777">
        <w:trPr>
          <w:tblHeader/>
          <w:jc w:val="center"/>
        </w:trPr>
        <w:tc>
          <w:tcPr>
            <w:tcW w:w="0" w:type="auto"/>
            <w:tcBorders>
              <w:top w:val="nil"/>
              <w:left w:val="nil"/>
              <w:bottom w:val="nil"/>
              <w:right w:val="nil"/>
            </w:tcBorders>
            <w:tcMar>
              <w:top w:w="-1" w:type="dxa"/>
              <w:left w:w="-1" w:type="dxa"/>
              <w:bottom w:w="-1" w:type="dxa"/>
              <w:right w:w="-1" w:type="dxa"/>
            </w:tcMar>
            <w:vAlign w:val="center"/>
          </w:tcPr>
          <w:p w14:paraId="48DAC4BF" w14:textId="77777777" w:rsidR="00196FE8" w:rsidRDefault="00D97C78">
            <w:pPr>
              <w:pStyle w:val="TableText"/>
              <w:spacing w:before="49"/>
              <w:jc w:val="center"/>
            </w:pPr>
            <w:r>
              <w:rPr>
                <w:color w:val="0F1115"/>
                <w:spacing w:val="-2"/>
              </w:rPr>
              <w:t>AGC →</w:t>
            </w:r>
            <w:r>
              <w:rPr>
                <w:color w:val="0F1115"/>
                <w:spacing w:val="10"/>
                <w:w w:val="102"/>
              </w:rPr>
              <w:t xml:space="preserve"> </w:t>
            </w:r>
            <w:r>
              <w:rPr>
                <w:color w:val="0F1115"/>
                <w:spacing w:val="-2"/>
              </w:rPr>
              <w:t>SLE</w:t>
            </w:r>
          </w:p>
        </w:tc>
        <w:tc>
          <w:tcPr>
            <w:tcW w:w="0" w:type="auto"/>
            <w:tcBorders>
              <w:top w:val="nil"/>
              <w:left w:val="nil"/>
              <w:bottom w:val="nil"/>
              <w:right w:val="nil"/>
            </w:tcBorders>
            <w:tcMar>
              <w:top w:w="-1" w:type="dxa"/>
              <w:left w:w="-1" w:type="dxa"/>
              <w:bottom w:w="-1" w:type="dxa"/>
              <w:right w:w="-1" w:type="dxa"/>
            </w:tcMar>
            <w:vAlign w:val="center"/>
          </w:tcPr>
          <w:p w14:paraId="0BBABBC4" w14:textId="77777777" w:rsidR="00196FE8" w:rsidRDefault="00D97C78">
            <w:pPr>
              <w:pStyle w:val="TableText"/>
              <w:spacing w:before="49"/>
              <w:jc w:val="center"/>
            </w:pPr>
            <w:r>
              <w:rPr>
                <w:color w:val="0F1115"/>
              </w:rPr>
              <w:t>rs13020513</w:t>
            </w:r>
          </w:p>
        </w:tc>
        <w:tc>
          <w:tcPr>
            <w:tcW w:w="0" w:type="auto"/>
            <w:tcBorders>
              <w:top w:val="nil"/>
              <w:left w:val="nil"/>
              <w:bottom w:val="nil"/>
              <w:right w:val="nil"/>
            </w:tcBorders>
            <w:tcMar>
              <w:top w:w="-1" w:type="dxa"/>
              <w:left w:w="-1" w:type="dxa"/>
              <w:bottom w:w="-1" w:type="dxa"/>
              <w:right w:w="-1" w:type="dxa"/>
            </w:tcMar>
            <w:vAlign w:val="center"/>
          </w:tcPr>
          <w:p w14:paraId="15C202A8" w14:textId="77777777" w:rsidR="00196FE8" w:rsidRDefault="00D97C78">
            <w:pPr>
              <w:pStyle w:val="TableText"/>
              <w:spacing w:before="238"/>
              <w:jc w:val="center"/>
            </w:pPr>
            <w:r>
              <w:rPr>
                <w:color w:val="0F1115"/>
                <w:spacing w:val="-2"/>
                <w:position w:val="1"/>
              </w:rPr>
              <w:t>9×10⁻⁶</w:t>
            </w:r>
          </w:p>
        </w:tc>
        <w:tc>
          <w:tcPr>
            <w:tcW w:w="0" w:type="auto"/>
            <w:tcBorders>
              <w:top w:val="nil"/>
              <w:left w:val="nil"/>
              <w:bottom w:val="nil"/>
              <w:right w:val="nil"/>
            </w:tcBorders>
            <w:tcMar>
              <w:top w:w="-1" w:type="dxa"/>
              <w:left w:w="-1" w:type="dxa"/>
              <w:bottom w:w="-1" w:type="dxa"/>
              <w:right w:w="-1" w:type="dxa"/>
            </w:tcMar>
            <w:vAlign w:val="center"/>
          </w:tcPr>
          <w:p w14:paraId="4EECA033" w14:textId="77777777" w:rsidR="00196FE8" w:rsidRDefault="00D97C78">
            <w:pPr>
              <w:pStyle w:val="TableText"/>
              <w:spacing w:before="49"/>
              <w:jc w:val="center"/>
            </w:pPr>
            <w:r>
              <w:rPr>
                <w:color w:val="0F1115"/>
                <w:spacing w:val="-1"/>
              </w:rPr>
              <w:t>Obesity-related traits</w:t>
            </w:r>
          </w:p>
        </w:tc>
        <w:tc>
          <w:tcPr>
            <w:tcW w:w="3782" w:type="dxa"/>
            <w:tcBorders>
              <w:top w:val="nil"/>
              <w:left w:val="nil"/>
              <w:bottom w:val="nil"/>
              <w:right w:val="nil"/>
            </w:tcBorders>
            <w:tcMar>
              <w:top w:w="-1" w:type="dxa"/>
              <w:left w:w="-1" w:type="dxa"/>
              <w:bottom w:w="-1" w:type="dxa"/>
              <w:right w:w="-1" w:type="dxa"/>
            </w:tcMar>
            <w:vAlign w:val="center"/>
          </w:tcPr>
          <w:p w14:paraId="099146A3" w14:textId="77777777" w:rsidR="00196FE8" w:rsidRDefault="00D97C78">
            <w:pPr>
              <w:pStyle w:val="TableText"/>
              <w:spacing w:before="100"/>
              <w:jc w:val="center"/>
              <w:rPr>
                <w:lang w:eastAsia="zh-CN"/>
              </w:rPr>
            </w:pPr>
            <w:r>
              <w:rPr>
                <w:color w:val="0F1115"/>
              </w:rPr>
              <w:t>Obesity (especially central) i</w:t>
            </w:r>
            <w:r>
              <w:rPr>
                <w:color w:val="0F1115"/>
                <w:spacing w:val="-1"/>
              </w:rPr>
              <w:t>s a chronic</w:t>
            </w:r>
            <w:r>
              <w:rPr>
                <w:color w:val="0F1115"/>
                <w:spacing w:val="4"/>
              </w:rPr>
              <w:t xml:space="preserve"> </w:t>
            </w:r>
            <w:r>
              <w:rPr>
                <w:color w:val="0F1115"/>
                <w:spacing w:val="-1"/>
              </w:rPr>
              <w:t>low-grade</w:t>
            </w:r>
            <w:r>
              <w:rPr>
                <w:color w:val="0F1115"/>
              </w:rPr>
              <w:t xml:space="preserve"> inflammatory state. Adipose tis</w:t>
            </w:r>
            <w:r>
              <w:rPr>
                <w:color w:val="0F1115"/>
                <w:spacing w:val="-1"/>
              </w:rPr>
              <w:t>sue secretes</w:t>
            </w:r>
            <w:r>
              <w:rPr>
                <w:rFonts w:hint="eastAsia"/>
                <w:color w:val="0F1115"/>
                <w:lang w:eastAsia="zh-CN"/>
              </w:rPr>
              <w:t xml:space="preserve"> </w:t>
            </w:r>
            <w:r>
              <w:rPr>
                <w:color w:val="0F1115"/>
              </w:rPr>
              <w:t>pro-inflammatory cytokines (e.g., TNF-α, IL-6)</w:t>
            </w:r>
          </w:p>
        </w:tc>
      </w:tr>
      <w:tr w:rsidR="00196FE8" w14:paraId="0A745812" w14:textId="77777777">
        <w:trPr>
          <w:tblHeader/>
          <w:jc w:val="center"/>
        </w:trPr>
        <w:tc>
          <w:tcPr>
            <w:tcW w:w="0" w:type="auto"/>
            <w:tcBorders>
              <w:top w:val="nil"/>
              <w:left w:val="nil"/>
              <w:bottom w:val="nil"/>
              <w:right w:val="nil"/>
            </w:tcBorders>
            <w:tcMar>
              <w:top w:w="-1" w:type="dxa"/>
              <w:left w:w="-1" w:type="dxa"/>
              <w:bottom w:w="-1" w:type="dxa"/>
              <w:right w:w="-1" w:type="dxa"/>
            </w:tcMar>
            <w:vAlign w:val="center"/>
          </w:tcPr>
          <w:p w14:paraId="7AA8B0DF" w14:textId="77777777" w:rsidR="00196FE8" w:rsidRDefault="00D97C78">
            <w:pPr>
              <w:pStyle w:val="TableText"/>
              <w:spacing w:before="49"/>
              <w:jc w:val="center"/>
            </w:pPr>
            <w:r>
              <w:rPr>
                <w:color w:val="0F1115"/>
                <w:spacing w:val="-2"/>
              </w:rPr>
              <w:t>AGC →</w:t>
            </w:r>
            <w:r>
              <w:rPr>
                <w:color w:val="0F1115"/>
                <w:spacing w:val="10"/>
                <w:w w:val="102"/>
              </w:rPr>
              <w:t xml:space="preserve"> </w:t>
            </w:r>
            <w:r>
              <w:rPr>
                <w:color w:val="0F1115"/>
                <w:spacing w:val="-2"/>
              </w:rPr>
              <w:t>SLE</w:t>
            </w:r>
          </w:p>
        </w:tc>
        <w:tc>
          <w:tcPr>
            <w:tcW w:w="0" w:type="auto"/>
            <w:tcBorders>
              <w:top w:val="nil"/>
              <w:left w:val="nil"/>
              <w:bottom w:val="nil"/>
              <w:right w:val="nil"/>
            </w:tcBorders>
            <w:tcMar>
              <w:top w:w="-1" w:type="dxa"/>
              <w:left w:w="-1" w:type="dxa"/>
              <w:bottom w:w="-1" w:type="dxa"/>
              <w:right w:w="-1" w:type="dxa"/>
            </w:tcMar>
            <w:vAlign w:val="center"/>
          </w:tcPr>
          <w:p w14:paraId="3496543F" w14:textId="77777777" w:rsidR="00196FE8" w:rsidRDefault="00D97C78">
            <w:pPr>
              <w:pStyle w:val="TableText"/>
              <w:spacing w:before="49"/>
              <w:jc w:val="center"/>
            </w:pPr>
            <w:r>
              <w:rPr>
                <w:color w:val="0F1115"/>
                <w:spacing w:val="-1"/>
              </w:rPr>
              <w:t>rs139515771</w:t>
            </w:r>
          </w:p>
        </w:tc>
        <w:tc>
          <w:tcPr>
            <w:tcW w:w="0" w:type="auto"/>
            <w:tcBorders>
              <w:top w:val="nil"/>
              <w:left w:val="nil"/>
              <w:bottom w:val="nil"/>
              <w:right w:val="nil"/>
            </w:tcBorders>
            <w:tcMar>
              <w:top w:w="-1" w:type="dxa"/>
              <w:left w:w="-1" w:type="dxa"/>
              <w:bottom w:w="-1" w:type="dxa"/>
              <w:right w:w="-1" w:type="dxa"/>
            </w:tcMar>
            <w:vAlign w:val="center"/>
          </w:tcPr>
          <w:p w14:paraId="062ACAD5" w14:textId="77777777" w:rsidR="00196FE8" w:rsidRDefault="00D97C78">
            <w:pPr>
              <w:pStyle w:val="TableText"/>
              <w:spacing w:before="48"/>
              <w:jc w:val="center"/>
            </w:pPr>
            <w:r>
              <w:rPr>
                <w:color w:val="0F1115"/>
                <w:spacing w:val="-2"/>
                <w:position w:val="1"/>
              </w:rPr>
              <w:t>5×10⁻¹²</w:t>
            </w:r>
          </w:p>
        </w:tc>
        <w:tc>
          <w:tcPr>
            <w:tcW w:w="0" w:type="auto"/>
            <w:tcBorders>
              <w:top w:val="nil"/>
              <w:left w:val="nil"/>
              <w:bottom w:val="nil"/>
              <w:right w:val="nil"/>
            </w:tcBorders>
            <w:tcMar>
              <w:top w:w="-1" w:type="dxa"/>
              <w:left w:w="-1" w:type="dxa"/>
              <w:bottom w:w="-1" w:type="dxa"/>
              <w:right w:w="-1" w:type="dxa"/>
            </w:tcMar>
            <w:vAlign w:val="center"/>
          </w:tcPr>
          <w:p w14:paraId="32B40DF8" w14:textId="77777777" w:rsidR="00196FE8" w:rsidRDefault="00D97C78">
            <w:pPr>
              <w:pStyle w:val="TableText"/>
              <w:spacing w:before="49"/>
              <w:jc w:val="center"/>
            </w:pPr>
            <w:r>
              <w:rPr>
                <w:color w:val="0F1115"/>
                <w:spacing w:val="-1"/>
              </w:rPr>
              <w:t>Smoking behavior</w:t>
            </w:r>
          </w:p>
        </w:tc>
        <w:tc>
          <w:tcPr>
            <w:tcW w:w="3782" w:type="dxa"/>
            <w:tcBorders>
              <w:top w:val="nil"/>
              <w:left w:val="nil"/>
              <w:bottom w:val="nil"/>
              <w:right w:val="nil"/>
            </w:tcBorders>
            <w:tcMar>
              <w:top w:w="-1" w:type="dxa"/>
              <w:left w:w="-1" w:type="dxa"/>
              <w:bottom w:w="-1" w:type="dxa"/>
              <w:right w:w="-1" w:type="dxa"/>
            </w:tcMar>
            <w:vAlign w:val="center"/>
          </w:tcPr>
          <w:p w14:paraId="2E082B5D" w14:textId="77777777" w:rsidR="00196FE8" w:rsidRDefault="00D97C78">
            <w:pPr>
              <w:pStyle w:val="TableText"/>
              <w:spacing w:before="102"/>
              <w:jc w:val="center"/>
              <w:rPr>
                <w:lang w:eastAsia="zh-CN"/>
              </w:rPr>
            </w:pPr>
            <w:r>
              <w:rPr>
                <w:color w:val="0F1115"/>
              </w:rPr>
              <w:t>If</w:t>
            </w:r>
            <w:r>
              <w:rPr>
                <w:color w:val="0F1115"/>
                <w:spacing w:val="-16"/>
              </w:rPr>
              <w:t xml:space="preserve"> </w:t>
            </w:r>
            <w:r>
              <w:rPr>
                <w:color w:val="0F1115"/>
              </w:rPr>
              <w:t>this SNP proxies for</w:t>
            </w:r>
            <w:r>
              <w:rPr>
                <w:color w:val="0F1115"/>
                <w:spacing w:val="12"/>
              </w:rPr>
              <w:t xml:space="preserve"> </w:t>
            </w:r>
            <w:r>
              <w:rPr>
                <w:color w:val="0F1115"/>
              </w:rPr>
              <w:t>“smoking t</w:t>
            </w:r>
            <w:r>
              <w:rPr>
                <w:color w:val="0F1115"/>
                <w:spacing w:val="-1"/>
              </w:rPr>
              <w:t>endency,” it is</w:t>
            </w:r>
            <w:r>
              <w:rPr>
                <w:color w:val="0F1115"/>
                <w:spacing w:val="5"/>
              </w:rPr>
              <w:t xml:space="preserve"> </w:t>
            </w:r>
            <w:r>
              <w:rPr>
                <w:color w:val="0F1115"/>
                <w:spacing w:val="-1"/>
              </w:rPr>
              <w:t>a</w:t>
            </w:r>
            <w:r>
              <w:rPr>
                <w:color w:val="0F1115"/>
                <w:spacing w:val="8"/>
              </w:rPr>
              <w:t xml:space="preserve"> </w:t>
            </w:r>
            <w:r>
              <w:rPr>
                <w:color w:val="0F1115"/>
                <w:spacing w:val="-1"/>
              </w:rPr>
              <w:t>strong</w:t>
            </w:r>
            <w:r>
              <w:rPr>
                <w:rFonts w:hint="eastAsia"/>
                <w:color w:val="0F1115"/>
                <w:lang w:eastAsia="zh-CN"/>
              </w:rPr>
              <w:t xml:space="preserve"> </w:t>
            </w:r>
            <w:r>
              <w:rPr>
                <w:color w:val="0F1115"/>
              </w:rPr>
              <w:t>instrument directly affecting S</w:t>
            </w:r>
            <w:r>
              <w:rPr>
                <w:color w:val="0F1115"/>
                <w:spacing w:val="-1"/>
              </w:rPr>
              <w:t>LE risk. Any</w:t>
            </w:r>
            <w:r>
              <w:rPr>
                <w:color w:val="0F1115"/>
                <w:spacing w:val="11"/>
              </w:rPr>
              <w:t xml:space="preserve"> </w:t>
            </w:r>
            <w:r>
              <w:rPr>
                <w:color w:val="0F1115"/>
                <w:spacing w:val="-1"/>
              </w:rPr>
              <w:t>statistical</w:t>
            </w:r>
            <w:r>
              <w:rPr>
                <w:rFonts w:hint="eastAsia"/>
                <w:color w:val="0F1115"/>
                <w:spacing w:val="-1"/>
                <w:lang w:eastAsia="zh-CN"/>
              </w:rPr>
              <w:t xml:space="preserve"> </w:t>
            </w:r>
            <w:r>
              <w:rPr>
                <w:color w:val="0F1115"/>
                <w:spacing w:val="-1"/>
              </w:rPr>
              <w:t>association with</w:t>
            </w:r>
            <w:r>
              <w:rPr>
                <w:color w:val="0F1115"/>
                <w:spacing w:val="28"/>
              </w:rPr>
              <w:t xml:space="preserve"> </w:t>
            </w:r>
            <w:r>
              <w:rPr>
                <w:color w:val="0F1115"/>
                <w:spacing w:val="-1"/>
              </w:rPr>
              <w:t>SLE when used as an instrument for</w:t>
            </w:r>
            <w:r>
              <w:rPr>
                <w:color w:val="0F1115"/>
                <w:spacing w:val="12"/>
              </w:rPr>
              <w:t xml:space="preserve"> </w:t>
            </w:r>
            <w:r>
              <w:rPr>
                <w:color w:val="0F1115"/>
                <w:spacing w:val="-1"/>
              </w:rPr>
              <w:t>“AGC</w:t>
            </w:r>
            <w:r>
              <w:rPr>
                <w:color w:val="0F1115"/>
              </w:rPr>
              <w:t xml:space="preserve"> exposure” likely reflects th</w:t>
            </w:r>
            <w:r>
              <w:rPr>
                <w:color w:val="0F1115"/>
                <w:spacing w:val="-1"/>
              </w:rPr>
              <w:t>e</w:t>
            </w:r>
            <w:r>
              <w:rPr>
                <w:color w:val="0F1115"/>
                <w:spacing w:val="10"/>
                <w:w w:val="101"/>
              </w:rPr>
              <w:t xml:space="preserve"> </w:t>
            </w:r>
            <w:r>
              <w:rPr>
                <w:color w:val="0F1115"/>
                <w:spacing w:val="-1"/>
              </w:rPr>
              <w:t>“smoking → SLE” pathway</w:t>
            </w:r>
          </w:p>
        </w:tc>
      </w:tr>
      <w:tr w:rsidR="00196FE8" w14:paraId="488A2ABA" w14:textId="77777777">
        <w:trPr>
          <w:tblHeader/>
          <w:jc w:val="center"/>
        </w:trPr>
        <w:tc>
          <w:tcPr>
            <w:tcW w:w="0" w:type="auto"/>
            <w:tcBorders>
              <w:top w:val="nil"/>
              <w:left w:val="nil"/>
              <w:bottom w:val="nil"/>
              <w:right w:val="nil"/>
            </w:tcBorders>
            <w:tcMar>
              <w:top w:w="-1" w:type="dxa"/>
              <w:left w:w="-1" w:type="dxa"/>
              <w:bottom w:w="-1" w:type="dxa"/>
              <w:right w:w="-1" w:type="dxa"/>
            </w:tcMar>
            <w:vAlign w:val="center"/>
          </w:tcPr>
          <w:p w14:paraId="2C635061" w14:textId="77777777" w:rsidR="00196FE8" w:rsidRDefault="00D97C78">
            <w:pPr>
              <w:pStyle w:val="TableText"/>
              <w:spacing w:before="48"/>
              <w:jc w:val="center"/>
            </w:pPr>
            <w:r>
              <w:rPr>
                <w:color w:val="0F1115"/>
                <w:spacing w:val="-2"/>
              </w:rPr>
              <w:t>AGC →</w:t>
            </w:r>
            <w:r>
              <w:rPr>
                <w:color w:val="0F1115"/>
                <w:spacing w:val="10"/>
                <w:w w:val="102"/>
              </w:rPr>
              <w:t xml:space="preserve"> </w:t>
            </w:r>
            <w:r>
              <w:rPr>
                <w:color w:val="0F1115"/>
                <w:spacing w:val="-2"/>
              </w:rPr>
              <w:t>SLE</w:t>
            </w:r>
          </w:p>
        </w:tc>
        <w:tc>
          <w:tcPr>
            <w:tcW w:w="0" w:type="auto"/>
            <w:tcBorders>
              <w:top w:val="nil"/>
              <w:left w:val="nil"/>
              <w:bottom w:val="nil"/>
              <w:right w:val="nil"/>
            </w:tcBorders>
            <w:tcMar>
              <w:top w:w="-1" w:type="dxa"/>
              <w:left w:w="-1" w:type="dxa"/>
              <w:bottom w:w="-1" w:type="dxa"/>
              <w:right w:w="-1" w:type="dxa"/>
            </w:tcMar>
            <w:vAlign w:val="center"/>
          </w:tcPr>
          <w:p w14:paraId="790F68A9" w14:textId="77777777" w:rsidR="00196FE8" w:rsidRDefault="00D97C78">
            <w:pPr>
              <w:pStyle w:val="TableText"/>
              <w:spacing w:before="48"/>
              <w:jc w:val="center"/>
            </w:pPr>
            <w:r>
              <w:rPr>
                <w:color w:val="0F1115"/>
              </w:rPr>
              <w:t>rs1817281</w:t>
            </w:r>
          </w:p>
        </w:tc>
        <w:tc>
          <w:tcPr>
            <w:tcW w:w="0" w:type="auto"/>
            <w:tcBorders>
              <w:top w:val="nil"/>
              <w:left w:val="nil"/>
              <w:bottom w:val="nil"/>
              <w:right w:val="nil"/>
            </w:tcBorders>
            <w:tcMar>
              <w:top w:w="-1" w:type="dxa"/>
              <w:left w:w="-1" w:type="dxa"/>
              <w:bottom w:w="-1" w:type="dxa"/>
              <w:right w:w="-1" w:type="dxa"/>
            </w:tcMar>
            <w:vAlign w:val="center"/>
          </w:tcPr>
          <w:p w14:paraId="5F2F09EA" w14:textId="77777777" w:rsidR="00196FE8" w:rsidRDefault="00D97C78">
            <w:pPr>
              <w:pStyle w:val="TableText"/>
              <w:spacing w:before="49"/>
              <w:jc w:val="center"/>
            </w:pPr>
            <w:r>
              <w:rPr>
                <w:color w:val="0F1115"/>
                <w:spacing w:val="-3"/>
                <w:position w:val="1"/>
              </w:rPr>
              <w:t>1×10⁻¹²</w:t>
            </w:r>
          </w:p>
        </w:tc>
        <w:tc>
          <w:tcPr>
            <w:tcW w:w="0" w:type="auto"/>
            <w:tcBorders>
              <w:top w:val="nil"/>
              <w:left w:val="nil"/>
              <w:bottom w:val="nil"/>
              <w:right w:val="nil"/>
            </w:tcBorders>
            <w:tcMar>
              <w:top w:w="-1" w:type="dxa"/>
              <w:left w:w="-1" w:type="dxa"/>
              <w:bottom w:w="-1" w:type="dxa"/>
              <w:right w:w="-1" w:type="dxa"/>
            </w:tcMar>
            <w:vAlign w:val="center"/>
          </w:tcPr>
          <w:p w14:paraId="2A9C2CDA" w14:textId="77777777" w:rsidR="00196FE8" w:rsidRDefault="00D97C78">
            <w:pPr>
              <w:pStyle w:val="TableText"/>
              <w:spacing w:before="49"/>
              <w:jc w:val="center"/>
            </w:pPr>
            <w:r>
              <w:rPr>
                <w:color w:val="0F1115"/>
                <w:spacing w:val="-1"/>
              </w:rPr>
              <w:t>White blood cell count</w:t>
            </w:r>
          </w:p>
        </w:tc>
        <w:tc>
          <w:tcPr>
            <w:tcW w:w="3782" w:type="dxa"/>
            <w:tcBorders>
              <w:top w:val="nil"/>
              <w:left w:val="nil"/>
              <w:bottom w:val="nil"/>
              <w:right w:val="nil"/>
            </w:tcBorders>
            <w:tcMar>
              <w:top w:w="-1" w:type="dxa"/>
              <w:left w:w="-1" w:type="dxa"/>
              <w:bottom w:w="-1" w:type="dxa"/>
              <w:right w:w="-1" w:type="dxa"/>
            </w:tcMar>
            <w:vAlign w:val="center"/>
          </w:tcPr>
          <w:p w14:paraId="4EAFC7A0" w14:textId="77777777" w:rsidR="00196FE8" w:rsidRDefault="00D97C78">
            <w:pPr>
              <w:pStyle w:val="TableText"/>
              <w:spacing w:before="102"/>
              <w:jc w:val="center"/>
              <w:rPr>
                <w:lang w:eastAsia="zh-CN"/>
              </w:rPr>
            </w:pPr>
            <w:r>
              <w:rPr>
                <w:color w:val="0F1115"/>
              </w:rPr>
              <w:t>SNPs directly affecting hematopoietic fu</w:t>
            </w:r>
            <w:r>
              <w:rPr>
                <w:color w:val="0F1115"/>
                <w:spacing w:val="-1"/>
              </w:rPr>
              <w:t>nction determine an</w:t>
            </w:r>
            <w:r>
              <w:rPr>
                <w:color w:val="0F1115"/>
              </w:rPr>
              <w:t xml:space="preserve"> individual</w:t>
            </w:r>
            <w:r>
              <w:rPr>
                <w:rFonts w:eastAsiaTheme="minorEastAsia"/>
                <w:color w:val="0F1115"/>
                <w:lang w:eastAsia="zh-CN"/>
              </w:rPr>
              <w:t>’</w:t>
            </w:r>
            <w:r>
              <w:rPr>
                <w:color w:val="0F1115"/>
              </w:rPr>
              <w:t xml:space="preserve">s “baseline reserve” Individuals </w:t>
            </w:r>
            <w:r>
              <w:rPr>
                <w:color w:val="0F1115"/>
                <w:spacing w:val="-1"/>
              </w:rPr>
              <w:t>with inherently</w:t>
            </w:r>
            <w:r>
              <w:rPr>
                <w:rFonts w:hint="eastAsia"/>
                <w:color w:val="0F1115"/>
                <w:lang w:eastAsia="zh-CN"/>
              </w:rPr>
              <w:t xml:space="preserve"> </w:t>
            </w:r>
            <w:r>
              <w:rPr>
                <w:color w:val="0F1115"/>
              </w:rPr>
              <w:t>low neutrophil counts are more suscept</w:t>
            </w:r>
            <w:r>
              <w:rPr>
                <w:color w:val="0F1115"/>
                <w:spacing w:val="-1"/>
              </w:rPr>
              <w:t>ible to an AGC</w:t>
            </w:r>
            <w:r>
              <w:rPr>
                <w:color w:val="0F1115"/>
              </w:rPr>
              <w:t xml:space="preserve"> </w:t>
            </w:r>
            <w:r>
              <w:rPr>
                <w:color w:val="0F1115"/>
                <w:spacing w:val="-1"/>
              </w:rPr>
              <w:t>diagnosis</w:t>
            </w:r>
          </w:p>
        </w:tc>
      </w:tr>
      <w:tr w:rsidR="00196FE8" w14:paraId="0D348C48" w14:textId="77777777">
        <w:trPr>
          <w:tblHeader/>
          <w:jc w:val="center"/>
        </w:trPr>
        <w:tc>
          <w:tcPr>
            <w:tcW w:w="0" w:type="auto"/>
            <w:tcBorders>
              <w:top w:val="nil"/>
              <w:left w:val="nil"/>
              <w:bottom w:val="nil"/>
              <w:right w:val="nil"/>
            </w:tcBorders>
            <w:tcMar>
              <w:top w:w="-1" w:type="dxa"/>
              <w:left w:w="-1" w:type="dxa"/>
              <w:bottom w:w="-1" w:type="dxa"/>
              <w:right w:w="-1" w:type="dxa"/>
            </w:tcMar>
            <w:vAlign w:val="center"/>
          </w:tcPr>
          <w:p w14:paraId="77960718" w14:textId="77777777" w:rsidR="00196FE8" w:rsidRDefault="00D97C78">
            <w:pPr>
              <w:pStyle w:val="TableText"/>
              <w:spacing w:before="49"/>
              <w:jc w:val="center"/>
            </w:pPr>
            <w:r>
              <w:rPr>
                <w:color w:val="0F1115"/>
                <w:spacing w:val="-2"/>
              </w:rPr>
              <w:t>AGC →</w:t>
            </w:r>
            <w:r>
              <w:rPr>
                <w:color w:val="0F1115"/>
                <w:spacing w:val="10"/>
                <w:w w:val="102"/>
              </w:rPr>
              <w:t xml:space="preserve"> </w:t>
            </w:r>
            <w:r>
              <w:rPr>
                <w:color w:val="0F1115"/>
                <w:spacing w:val="-2"/>
              </w:rPr>
              <w:t>SLE</w:t>
            </w:r>
          </w:p>
        </w:tc>
        <w:tc>
          <w:tcPr>
            <w:tcW w:w="0" w:type="auto"/>
            <w:tcBorders>
              <w:top w:val="nil"/>
              <w:left w:val="nil"/>
              <w:bottom w:val="nil"/>
              <w:right w:val="nil"/>
            </w:tcBorders>
            <w:tcMar>
              <w:top w:w="-1" w:type="dxa"/>
              <w:left w:w="-1" w:type="dxa"/>
              <w:bottom w:w="-1" w:type="dxa"/>
              <w:right w:w="-1" w:type="dxa"/>
            </w:tcMar>
            <w:vAlign w:val="center"/>
          </w:tcPr>
          <w:p w14:paraId="519B28A4" w14:textId="77777777" w:rsidR="00196FE8" w:rsidRDefault="00D97C78">
            <w:pPr>
              <w:pStyle w:val="TableText"/>
              <w:spacing w:before="49"/>
              <w:jc w:val="center"/>
            </w:pPr>
            <w:r>
              <w:rPr>
                <w:color w:val="0F1115"/>
              </w:rPr>
              <w:t>rs7164431</w:t>
            </w:r>
          </w:p>
        </w:tc>
        <w:tc>
          <w:tcPr>
            <w:tcW w:w="0" w:type="auto"/>
            <w:tcBorders>
              <w:top w:val="nil"/>
              <w:left w:val="nil"/>
              <w:bottom w:val="nil"/>
              <w:right w:val="nil"/>
            </w:tcBorders>
            <w:tcMar>
              <w:top w:w="-1" w:type="dxa"/>
              <w:left w:w="-1" w:type="dxa"/>
              <w:bottom w:w="-1" w:type="dxa"/>
              <w:right w:w="-1" w:type="dxa"/>
            </w:tcMar>
            <w:vAlign w:val="center"/>
          </w:tcPr>
          <w:p w14:paraId="4872FE69" w14:textId="77777777" w:rsidR="00196FE8" w:rsidRDefault="00D97C78">
            <w:pPr>
              <w:pStyle w:val="TableText"/>
              <w:spacing w:before="240"/>
              <w:jc w:val="center"/>
            </w:pPr>
            <w:r>
              <w:rPr>
                <w:color w:val="0F1115"/>
                <w:spacing w:val="-4"/>
                <w:position w:val="1"/>
              </w:rPr>
              <w:t>1×10⁻⁶</w:t>
            </w:r>
          </w:p>
        </w:tc>
        <w:tc>
          <w:tcPr>
            <w:tcW w:w="0" w:type="auto"/>
            <w:tcBorders>
              <w:top w:val="nil"/>
              <w:left w:val="nil"/>
              <w:bottom w:val="nil"/>
              <w:right w:val="nil"/>
            </w:tcBorders>
            <w:tcMar>
              <w:top w:w="-1" w:type="dxa"/>
              <w:left w:w="-1" w:type="dxa"/>
              <w:bottom w:w="-1" w:type="dxa"/>
              <w:right w:w="-1" w:type="dxa"/>
            </w:tcMar>
            <w:vAlign w:val="center"/>
          </w:tcPr>
          <w:p w14:paraId="7E96CC05" w14:textId="77777777" w:rsidR="00196FE8" w:rsidRDefault="00D97C78">
            <w:pPr>
              <w:pStyle w:val="TableText"/>
              <w:spacing w:before="49"/>
              <w:jc w:val="center"/>
            </w:pPr>
            <w:r>
              <w:rPr>
                <w:color w:val="0F1115"/>
                <w:spacing w:val="-1"/>
              </w:rPr>
              <w:t>Obesity-related traits</w:t>
            </w:r>
          </w:p>
        </w:tc>
        <w:tc>
          <w:tcPr>
            <w:tcW w:w="3782" w:type="dxa"/>
            <w:tcBorders>
              <w:top w:val="nil"/>
              <w:left w:val="nil"/>
              <w:bottom w:val="nil"/>
              <w:right w:val="nil"/>
            </w:tcBorders>
            <w:tcMar>
              <w:top w:w="-1" w:type="dxa"/>
              <w:left w:w="-1" w:type="dxa"/>
              <w:bottom w:w="-1" w:type="dxa"/>
              <w:right w:w="-1" w:type="dxa"/>
            </w:tcMar>
            <w:vAlign w:val="center"/>
          </w:tcPr>
          <w:p w14:paraId="671E3718" w14:textId="77777777" w:rsidR="00196FE8" w:rsidRDefault="00D97C78">
            <w:pPr>
              <w:pStyle w:val="TableText"/>
              <w:spacing w:before="103"/>
              <w:jc w:val="center"/>
              <w:rPr>
                <w:lang w:eastAsia="zh-CN"/>
              </w:rPr>
            </w:pPr>
            <w:r>
              <w:rPr>
                <w:color w:val="0F1115"/>
              </w:rPr>
              <w:t>Obesity (especially central) i</w:t>
            </w:r>
            <w:r>
              <w:rPr>
                <w:color w:val="0F1115"/>
                <w:spacing w:val="-1"/>
              </w:rPr>
              <w:t>s a chronic</w:t>
            </w:r>
            <w:r>
              <w:rPr>
                <w:color w:val="0F1115"/>
                <w:spacing w:val="4"/>
              </w:rPr>
              <w:t xml:space="preserve"> </w:t>
            </w:r>
            <w:r>
              <w:rPr>
                <w:color w:val="0F1115"/>
                <w:spacing w:val="-1"/>
              </w:rPr>
              <w:t>low-grade</w:t>
            </w:r>
            <w:r>
              <w:rPr>
                <w:color w:val="0F1115"/>
              </w:rPr>
              <w:t xml:space="preserve"> inflammatory state. Adipose tis</w:t>
            </w:r>
            <w:r>
              <w:rPr>
                <w:color w:val="0F1115"/>
                <w:spacing w:val="-1"/>
              </w:rPr>
              <w:t>sue secretes</w:t>
            </w:r>
            <w:r>
              <w:rPr>
                <w:rFonts w:hint="eastAsia"/>
                <w:color w:val="0F1115"/>
                <w:lang w:eastAsia="zh-CN"/>
              </w:rPr>
              <w:t xml:space="preserve"> </w:t>
            </w:r>
            <w:r>
              <w:rPr>
                <w:color w:val="0F1115"/>
              </w:rPr>
              <w:t>pro-inflammatory cytokines (e.g., TNF-α, IL-6)</w:t>
            </w:r>
          </w:p>
        </w:tc>
      </w:tr>
      <w:tr w:rsidR="00196FE8" w14:paraId="64F35C77" w14:textId="77777777">
        <w:trPr>
          <w:tblHeader/>
          <w:jc w:val="center"/>
        </w:trPr>
        <w:tc>
          <w:tcPr>
            <w:tcW w:w="1505" w:type="dxa"/>
            <w:tcBorders>
              <w:top w:val="nil"/>
              <w:left w:val="nil"/>
              <w:bottom w:val="single" w:sz="12" w:space="0" w:color="000000"/>
              <w:right w:val="nil"/>
            </w:tcBorders>
            <w:tcMar>
              <w:top w:w="-1" w:type="dxa"/>
              <w:left w:w="-1" w:type="dxa"/>
              <w:bottom w:w="-1" w:type="dxa"/>
              <w:right w:w="-1" w:type="dxa"/>
            </w:tcMar>
            <w:vAlign w:val="center"/>
          </w:tcPr>
          <w:p w14:paraId="33F66399" w14:textId="77777777" w:rsidR="00196FE8" w:rsidRDefault="00D97C78">
            <w:pPr>
              <w:pStyle w:val="TableText"/>
              <w:spacing w:before="49"/>
              <w:jc w:val="center"/>
            </w:pPr>
            <w:r>
              <w:rPr>
                <w:color w:val="0F1115"/>
                <w:spacing w:val="-2"/>
              </w:rPr>
              <w:lastRenderedPageBreak/>
              <w:t>AGC →</w:t>
            </w:r>
            <w:r>
              <w:rPr>
                <w:color w:val="0F1115"/>
                <w:spacing w:val="10"/>
                <w:w w:val="102"/>
              </w:rPr>
              <w:t xml:space="preserve"> </w:t>
            </w:r>
            <w:r>
              <w:rPr>
                <w:color w:val="0F1115"/>
                <w:spacing w:val="-2"/>
              </w:rPr>
              <w:t>SLE</w:t>
            </w:r>
          </w:p>
        </w:tc>
        <w:tc>
          <w:tcPr>
            <w:tcW w:w="877" w:type="dxa"/>
            <w:tcBorders>
              <w:top w:val="nil"/>
              <w:left w:val="nil"/>
              <w:bottom w:val="single" w:sz="12" w:space="0" w:color="000000"/>
              <w:right w:val="nil"/>
            </w:tcBorders>
            <w:tcMar>
              <w:top w:w="-1" w:type="dxa"/>
              <w:left w:w="-1" w:type="dxa"/>
              <w:bottom w:w="-1" w:type="dxa"/>
              <w:right w:w="-1" w:type="dxa"/>
            </w:tcMar>
            <w:vAlign w:val="center"/>
          </w:tcPr>
          <w:p w14:paraId="0E57BC54" w14:textId="77777777" w:rsidR="00196FE8" w:rsidRDefault="00D97C78">
            <w:pPr>
              <w:pStyle w:val="TableText"/>
              <w:spacing w:before="49"/>
              <w:jc w:val="center"/>
            </w:pPr>
            <w:r>
              <w:rPr>
                <w:color w:val="0F1115"/>
              </w:rPr>
              <w:t>rs9978837</w:t>
            </w:r>
          </w:p>
        </w:tc>
        <w:tc>
          <w:tcPr>
            <w:tcW w:w="552" w:type="dxa"/>
            <w:tcBorders>
              <w:top w:val="nil"/>
              <w:left w:val="nil"/>
              <w:bottom w:val="single" w:sz="12" w:space="0" w:color="000000"/>
              <w:right w:val="nil"/>
            </w:tcBorders>
            <w:tcMar>
              <w:top w:w="-1" w:type="dxa"/>
              <w:left w:w="-1" w:type="dxa"/>
              <w:bottom w:w="-1" w:type="dxa"/>
              <w:right w:w="-1" w:type="dxa"/>
            </w:tcMar>
            <w:vAlign w:val="center"/>
          </w:tcPr>
          <w:p w14:paraId="56E08A87" w14:textId="77777777" w:rsidR="00196FE8" w:rsidRDefault="00D97C78">
            <w:pPr>
              <w:pStyle w:val="TableText"/>
              <w:spacing w:before="49"/>
              <w:jc w:val="center"/>
            </w:pPr>
            <w:r>
              <w:rPr>
                <w:color w:val="0F1115"/>
                <w:spacing w:val="-1"/>
                <w:position w:val="1"/>
              </w:rPr>
              <w:t>4×10⁻¹⁴</w:t>
            </w:r>
          </w:p>
        </w:tc>
        <w:tc>
          <w:tcPr>
            <w:tcW w:w="1590" w:type="dxa"/>
            <w:tcBorders>
              <w:top w:val="nil"/>
              <w:left w:val="nil"/>
              <w:bottom w:val="single" w:sz="12" w:space="0" w:color="000000"/>
              <w:right w:val="nil"/>
            </w:tcBorders>
            <w:tcMar>
              <w:top w:w="-1" w:type="dxa"/>
              <w:left w:w="-1" w:type="dxa"/>
              <w:bottom w:w="-1" w:type="dxa"/>
              <w:right w:w="-1" w:type="dxa"/>
            </w:tcMar>
            <w:vAlign w:val="center"/>
          </w:tcPr>
          <w:p w14:paraId="7F2F36BB" w14:textId="77777777" w:rsidR="00196FE8" w:rsidRDefault="00D97C78">
            <w:pPr>
              <w:pStyle w:val="TableText"/>
              <w:spacing w:before="49"/>
              <w:jc w:val="center"/>
            </w:pPr>
            <w:r>
              <w:rPr>
                <w:color w:val="0F1115"/>
                <w:spacing w:val="-1"/>
              </w:rPr>
              <w:t>Smoking behavior</w:t>
            </w:r>
          </w:p>
        </w:tc>
        <w:tc>
          <w:tcPr>
            <w:tcW w:w="3782" w:type="dxa"/>
            <w:tcBorders>
              <w:top w:val="nil"/>
              <w:left w:val="nil"/>
              <w:bottom w:val="single" w:sz="12" w:space="0" w:color="000000"/>
              <w:right w:val="nil"/>
            </w:tcBorders>
            <w:tcMar>
              <w:top w:w="-1" w:type="dxa"/>
              <w:left w:w="-1" w:type="dxa"/>
              <w:bottom w:w="-1" w:type="dxa"/>
              <w:right w:w="-1" w:type="dxa"/>
            </w:tcMar>
            <w:vAlign w:val="center"/>
          </w:tcPr>
          <w:p w14:paraId="02A73D9D" w14:textId="77777777" w:rsidR="00196FE8" w:rsidRDefault="00D97C78">
            <w:pPr>
              <w:pStyle w:val="TableText"/>
              <w:spacing w:before="105"/>
              <w:jc w:val="center"/>
              <w:rPr>
                <w:lang w:eastAsia="zh-CN"/>
              </w:rPr>
            </w:pPr>
            <w:r>
              <w:rPr>
                <w:color w:val="0F1115"/>
              </w:rPr>
              <w:t>If</w:t>
            </w:r>
            <w:r>
              <w:rPr>
                <w:color w:val="0F1115"/>
                <w:spacing w:val="-16"/>
              </w:rPr>
              <w:t xml:space="preserve"> </w:t>
            </w:r>
            <w:r>
              <w:rPr>
                <w:color w:val="0F1115"/>
              </w:rPr>
              <w:t>this SNP proxies for</w:t>
            </w:r>
            <w:r>
              <w:rPr>
                <w:color w:val="0F1115"/>
                <w:spacing w:val="12"/>
              </w:rPr>
              <w:t xml:space="preserve"> </w:t>
            </w:r>
            <w:r>
              <w:rPr>
                <w:rFonts w:eastAsiaTheme="minorEastAsia"/>
                <w:color w:val="0F1115"/>
                <w:lang w:eastAsia="zh-CN"/>
              </w:rPr>
              <w:t>“</w:t>
            </w:r>
            <w:r>
              <w:rPr>
                <w:color w:val="0F1115"/>
              </w:rPr>
              <w:t>smoking t</w:t>
            </w:r>
            <w:r>
              <w:rPr>
                <w:color w:val="0F1115"/>
                <w:spacing w:val="-1"/>
              </w:rPr>
              <w:t>endency,” it is</w:t>
            </w:r>
            <w:r>
              <w:rPr>
                <w:color w:val="0F1115"/>
                <w:spacing w:val="5"/>
              </w:rPr>
              <w:t xml:space="preserve"> </w:t>
            </w:r>
            <w:r>
              <w:rPr>
                <w:color w:val="0F1115"/>
                <w:spacing w:val="-1"/>
              </w:rPr>
              <w:t>a</w:t>
            </w:r>
            <w:r>
              <w:rPr>
                <w:color w:val="0F1115"/>
                <w:spacing w:val="8"/>
              </w:rPr>
              <w:t xml:space="preserve"> </w:t>
            </w:r>
            <w:r>
              <w:rPr>
                <w:color w:val="0F1115"/>
                <w:spacing w:val="-1"/>
              </w:rPr>
              <w:t>strong</w:t>
            </w:r>
            <w:r>
              <w:rPr>
                <w:rFonts w:hint="eastAsia"/>
                <w:color w:val="0F1115"/>
                <w:lang w:eastAsia="zh-CN"/>
              </w:rPr>
              <w:t xml:space="preserve"> </w:t>
            </w:r>
            <w:r>
              <w:rPr>
                <w:color w:val="0F1115"/>
              </w:rPr>
              <w:t>instrument directly affecting S</w:t>
            </w:r>
            <w:r>
              <w:rPr>
                <w:color w:val="0F1115"/>
                <w:spacing w:val="-1"/>
              </w:rPr>
              <w:t>LE risk. Any</w:t>
            </w:r>
            <w:r>
              <w:rPr>
                <w:color w:val="0F1115"/>
                <w:spacing w:val="11"/>
              </w:rPr>
              <w:t xml:space="preserve"> </w:t>
            </w:r>
            <w:r>
              <w:rPr>
                <w:color w:val="0F1115"/>
                <w:spacing w:val="-1"/>
              </w:rPr>
              <w:t>statistical</w:t>
            </w:r>
            <w:r>
              <w:rPr>
                <w:rFonts w:hint="eastAsia"/>
                <w:color w:val="0F1115"/>
                <w:spacing w:val="-1"/>
                <w:lang w:eastAsia="zh-CN"/>
              </w:rPr>
              <w:t xml:space="preserve"> </w:t>
            </w:r>
            <w:r>
              <w:rPr>
                <w:color w:val="0F1115"/>
                <w:spacing w:val="-1"/>
              </w:rPr>
              <w:t>association with</w:t>
            </w:r>
            <w:r>
              <w:rPr>
                <w:color w:val="0F1115"/>
                <w:spacing w:val="28"/>
              </w:rPr>
              <w:t xml:space="preserve"> </w:t>
            </w:r>
            <w:r>
              <w:rPr>
                <w:color w:val="0F1115"/>
                <w:spacing w:val="-1"/>
              </w:rPr>
              <w:t>SLE when used as an instrument for</w:t>
            </w:r>
            <w:r>
              <w:rPr>
                <w:color w:val="0F1115"/>
                <w:spacing w:val="12"/>
              </w:rPr>
              <w:t xml:space="preserve"> </w:t>
            </w:r>
            <w:r>
              <w:rPr>
                <w:color w:val="0F1115"/>
                <w:spacing w:val="-1"/>
              </w:rPr>
              <w:t>“AGC</w:t>
            </w:r>
            <w:r>
              <w:rPr>
                <w:color w:val="0F1115"/>
              </w:rPr>
              <w:t xml:space="preserve"> exposure” likely reflects th</w:t>
            </w:r>
            <w:r>
              <w:rPr>
                <w:color w:val="0F1115"/>
                <w:spacing w:val="-1"/>
              </w:rPr>
              <w:t>e</w:t>
            </w:r>
            <w:r>
              <w:rPr>
                <w:color w:val="0F1115"/>
                <w:spacing w:val="10"/>
                <w:w w:val="101"/>
              </w:rPr>
              <w:t xml:space="preserve"> </w:t>
            </w:r>
            <w:r>
              <w:rPr>
                <w:color w:val="0F1115"/>
                <w:spacing w:val="-1"/>
              </w:rPr>
              <w:t>“smoking → SLE” pathway</w:t>
            </w:r>
          </w:p>
        </w:tc>
      </w:tr>
    </w:tbl>
    <w:p w14:paraId="6B128A65" w14:textId="40079948" w:rsidR="00196FE8" w:rsidRPr="00366F87" w:rsidRDefault="00D97C78" w:rsidP="00310594">
      <w:pPr>
        <w:pStyle w:val="a8"/>
        <w:shd w:val="clear" w:color="auto" w:fill="FFFFFF"/>
        <w:spacing w:before="160" w:after="160"/>
        <w:jc w:val="both"/>
        <w:rPr>
          <w:rFonts w:ascii="Times New Roman" w:eastAsiaTheme="minorEastAsia" w:hAnsi="Times New Roman" w:cs="Times New Roman" w:hint="eastAsia"/>
          <w:spacing w:val="-1"/>
          <w:sz w:val="17"/>
          <w:szCs w:val="17"/>
          <w:lang w:eastAsia="zh-CN"/>
        </w:rPr>
      </w:pPr>
      <w:r>
        <w:rPr>
          <w:rFonts w:ascii="Times New Roman" w:eastAsia="Times New Roman" w:hAnsi="Times New Roman" w:cs="Times New Roman"/>
          <w:spacing w:val="-1"/>
          <w:sz w:val="17"/>
          <w:szCs w:val="17"/>
        </w:rPr>
        <w:t xml:space="preserve">This table details the single nucleotide polymorphisms (SNPs) that were excluded from the instrumental variable set for each exposure–outcome pair in the Mendelian randomization analysis. For each excluded SNP, the following information is provided: the specific exposure–outcome direction, the SNP identifier (SNP ID), the </w:t>
      </w:r>
      <w:r>
        <w:rPr>
          <w:rFonts w:ascii="Times New Roman" w:eastAsia="Times New Roman" w:hAnsi="Times New Roman" w:cs="Times New Roman"/>
          <w:i/>
          <w:iCs/>
          <w:spacing w:val="-1"/>
          <w:sz w:val="17"/>
          <w:szCs w:val="17"/>
        </w:rPr>
        <w:t>P</w:t>
      </w:r>
      <w:r>
        <w:rPr>
          <w:rFonts w:ascii="Times New Roman" w:eastAsia="Times New Roman" w:hAnsi="Times New Roman" w:cs="Times New Roman"/>
          <w:spacing w:val="-1"/>
          <w:sz w:val="17"/>
          <w:szCs w:val="17"/>
        </w:rPr>
        <w:t>-value for its association with the exposure trait, the confounding trait or phenotype with which it is associated, and a detailed rationale for exclusion. SNPs were removed if they showed strong evidence of horizontal pleiotropy or were independently associated with known confounding factors, including other autoimmune diseases, infection susceptibility, drug metabolism or toxicity, gut microbiota composition, inflammatory bowel disease, nutritional status, smoking behavior, obesity-related traits, and baseline hematologic parameters. This screening process was conducted to ensure the validity of the exclusion restriction assumption in Mendelian randomization.</w:t>
      </w:r>
      <w:r w:rsidR="00366F87">
        <w:rPr>
          <w:rFonts w:ascii="Times New Roman" w:eastAsiaTheme="minorEastAsia" w:hAnsi="Times New Roman" w:cs="Times New Roman" w:hint="eastAsia"/>
          <w:spacing w:val="-1"/>
          <w:sz w:val="17"/>
          <w:szCs w:val="17"/>
          <w:lang w:eastAsia="zh-CN"/>
        </w:rPr>
        <w:t xml:space="preserve"> </w:t>
      </w:r>
      <w:r w:rsidR="00366F87" w:rsidRPr="00366F87">
        <w:rPr>
          <w:rFonts w:ascii="Times New Roman" w:eastAsiaTheme="minorEastAsia" w:hAnsi="Times New Roman" w:cs="Times New Roman"/>
          <w:spacing w:val="-1"/>
          <w:sz w:val="17"/>
          <w:szCs w:val="17"/>
          <w:lang w:eastAsia="zh-CN"/>
        </w:rPr>
        <w:t>AGC, agranulocytosis; B12DA, vitamin B12 deficiency anemia; IDA, iron deficiency anemia; IL interleukin; ITP, immune thrombocytopenia; RA, rheumatoid arthritis; SLE, systemic lupus erythematosus; Th2, T helper 2; TNF-α, tumor necrosis factor-alpha.</w:t>
      </w:r>
    </w:p>
    <w:p w14:paraId="41542965" w14:textId="77777777" w:rsidR="00196FE8" w:rsidRDefault="00196FE8"/>
    <w:sectPr w:rsidR="00196FE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2A5DA" w14:textId="77777777" w:rsidR="0064161E" w:rsidRDefault="0064161E">
      <w:r>
        <w:separator/>
      </w:r>
    </w:p>
  </w:endnote>
  <w:endnote w:type="continuationSeparator" w:id="0">
    <w:p w14:paraId="1277FC79" w14:textId="77777777" w:rsidR="0064161E" w:rsidRDefault="00641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83DDB" w14:textId="77777777" w:rsidR="0064161E" w:rsidRDefault="0064161E">
      <w:r>
        <w:separator/>
      </w:r>
    </w:p>
  </w:footnote>
  <w:footnote w:type="continuationSeparator" w:id="0">
    <w:p w14:paraId="33B27C03" w14:textId="77777777" w:rsidR="0064161E" w:rsidRDefault="006416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B32"/>
    <w:rsid w:val="0001498E"/>
    <w:rsid w:val="00052B32"/>
    <w:rsid w:val="0007343B"/>
    <w:rsid w:val="00196FE8"/>
    <w:rsid w:val="00215B71"/>
    <w:rsid w:val="00225ACB"/>
    <w:rsid w:val="00252F09"/>
    <w:rsid w:val="0027304F"/>
    <w:rsid w:val="002E3456"/>
    <w:rsid w:val="00310594"/>
    <w:rsid w:val="0034262A"/>
    <w:rsid w:val="00366F87"/>
    <w:rsid w:val="00392CDD"/>
    <w:rsid w:val="003B12E5"/>
    <w:rsid w:val="004247B8"/>
    <w:rsid w:val="0049383F"/>
    <w:rsid w:val="004D1640"/>
    <w:rsid w:val="00521F01"/>
    <w:rsid w:val="00617388"/>
    <w:rsid w:val="0064161E"/>
    <w:rsid w:val="00692CCD"/>
    <w:rsid w:val="0077700E"/>
    <w:rsid w:val="007E5F08"/>
    <w:rsid w:val="00812D77"/>
    <w:rsid w:val="008D274E"/>
    <w:rsid w:val="009A2EA0"/>
    <w:rsid w:val="00A21F38"/>
    <w:rsid w:val="00A42C18"/>
    <w:rsid w:val="00B36288"/>
    <w:rsid w:val="00B9107E"/>
    <w:rsid w:val="00D97C78"/>
    <w:rsid w:val="00DF4C0A"/>
    <w:rsid w:val="00EA1490"/>
    <w:rsid w:val="00EB6310"/>
    <w:rsid w:val="00F36A17"/>
    <w:rsid w:val="00FD294D"/>
    <w:rsid w:val="057E12A3"/>
    <w:rsid w:val="06A52A93"/>
    <w:rsid w:val="0EF16F8A"/>
    <w:rsid w:val="198A4263"/>
    <w:rsid w:val="33105381"/>
    <w:rsid w:val="3FFE7942"/>
    <w:rsid w:val="56E656FA"/>
    <w:rsid w:val="6B476E8A"/>
    <w:rsid w:val="7D6771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D9E3A"/>
  <w15:docId w15:val="{8B5FD0DF-D4B3-468F-BE3F-FD8561275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Times New Roman" w:eastAsia="Times New Roman" w:hAnsi="Times New Roman" w:cs="Times New Roman"/>
      <w:sz w:val="19"/>
      <w:szCs w:val="19"/>
    </w:rPr>
  </w:style>
  <w:style w:type="paragraph" w:styleId="a4">
    <w:name w:val="footer"/>
    <w:basedOn w:val="a"/>
    <w:link w:val="a5"/>
    <w:qFormat/>
    <w:pPr>
      <w:tabs>
        <w:tab w:val="center" w:pos="4153"/>
        <w:tab w:val="right" w:pos="8306"/>
      </w:tabs>
    </w:pPr>
    <w:rPr>
      <w:sz w:val="18"/>
      <w:szCs w:val="18"/>
    </w:rPr>
  </w:style>
  <w:style w:type="paragraph" w:styleId="a6">
    <w:name w:val="header"/>
    <w:basedOn w:val="a"/>
    <w:link w:val="a7"/>
    <w:pPr>
      <w:tabs>
        <w:tab w:val="center" w:pos="4153"/>
        <w:tab w:val="right" w:pos="8306"/>
      </w:tabs>
      <w:jc w:val="center"/>
    </w:pPr>
    <w:rPr>
      <w:sz w:val="18"/>
      <w:szCs w:val="18"/>
    </w:rPr>
  </w:style>
  <w:style w:type="paragraph" w:styleId="a8">
    <w:name w:val="Normal (Web)"/>
    <w:basedOn w:val="a"/>
    <w:qFormat/>
    <w:rPr>
      <w:sz w:val="24"/>
    </w:rPr>
  </w:style>
  <w:style w:type="character" w:styleId="a9">
    <w:name w:val="Strong"/>
    <w:basedOn w:val="a0"/>
    <w:qFormat/>
    <w:rPr>
      <w:b/>
    </w:rPr>
  </w:style>
  <w:style w:type="character" w:styleId="aa">
    <w:name w:val="Emphasis"/>
    <w:basedOn w:val="a0"/>
    <w:qFormat/>
    <w:rPr>
      <w:i/>
    </w:rPr>
  </w:style>
  <w:style w:type="paragraph" w:customStyle="1" w:styleId="TableText">
    <w:name w:val="Table Text"/>
    <w:basedOn w:val="a"/>
    <w:semiHidden/>
    <w:qFormat/>
    <w:rPr>
      <w:rFonts w:ascii="Times New Roman" w:eastAsia="Times New Roman" w:hAnsi="Times New Roman" w:cs="Times New Roman"/>
      <w:sz w:val="17"/>
      <w:szCs w:val="17"/>
    </w:rPr>
  </w:style>
  <w:style w:type="table" w:customStyle="1" w:styleId="TableNormal">
    <w:name w:val="Table Normal"/>
    <w:unhideWhenUsed/>
    <w:qFormat/>
    <w:tblPr>
      <w:tblCellMar>
        <w:top w:w="0" w:type="dxa"/>
        <w:left w:w="0" w:type="dxa"/>
        <w:bottom w:w="0" w:type="dxa"/>
        <w:right w:w="0" w:type="dxa"/>
      </w:tblCellMar>
    </w:tblPr>
  </w:style>
  <w:style w:type="character" w:customStyle="1" w:styleId="a7">
    <w:name w:val="页眉 字符"/>
    <w:basedOn w:val="a0"/>
    <w:link w:val="a6"/>
    <w:qFormat/>
    <w:rPr>
      <w:rFonts w:ascii="Arial" w:eastAsia="Arial" w:hAnsi="Arial" w:cs="Arial"/>
      <w:snapToGrid w:val="0"/>
      <w:color w:val="000000"/>
      <w:sz w:val="18"/>
      <w:szCs w:val="18"/>
      <w:lang w:eastAsia="en-US"/>
    </w:rPr>
  </w:style>
  <w:style w:type="character" w:customStyle="1" w:styleId="a5">
    <w:name w:val="页脚 字符"/>
    <w:basedOn w:val="a0"/>
    <w:link w:val="a4"/>
    <w:rPr>
      <w:rFonts w:ascii="Arial" w:eastAsia="Arial" w:hAnsi="Arial" w:cs="Arial"/>
      <w:snapToGrid w:val="0"/>
      <w:color w:val="000000"/>
      <w:sz w:val="18"/>
      <w:szCs w:val="18"/>
      <w:lang w:eastAsia="en-US"/>
    </w:rPr>
  </w:style>
  <w:style w:type="paragraph" w:customStyle="1" w:styleId="1">
    <w:name w:val="修订1"/>
    <w:hidden/>
    <w:uiPriority w:val="99"/>
    <w:unhideWhenUsed/>
    <w:rPr>
      <w:rFonts w:ascii="Arial" w:eastAsia="Arial" w:hAnsi="Arial" w:cs="Arial"/>
      <w:snapToGrid w:val="0"/>
      <w:color w:val="000000"/>
      <w:sz w:val="21"/>
      <w:szCs w:val="21"/>
      <w:lang w:eastAsia="en-US"/>
    </w:rPr>
  </w:style>
  <w:style w:type="paragraph" w:styleId="ab">
    <w:name w:val="Revision"/>
    <w:hidden/>
    <w:uiPriority w:val="99"/>
    <w:unhideWhenUsed/>
    <w:rsid w:val="0049383F"/>
    <w:rPr>
      <w:rFonts w:ascii="Arial" w:eastAsia="Arial" w:hAnsi="Arial" w:cs="Arial"/>
      <w:snapToGrid w:val="0"/>
      <w:color w:val="00000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746</Words>
  <Characters>4258</Characters>
  <Application>Microsoft Office Word</Application>
  <DocSecurity>0</DocSecurity>
  <Lines>35</Lines>
  <Paragraphs>9</Paragraphs>
  <ScaleCrop>false</ScaleCrop>
  <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yangyang</dc:creator>
  <cp:lastModifiedBy>Editor</cp:lastModifiedBy>
  <cp:revision>13</cp:revision>
  <dcterms:created xsi:type="dcterms:W3CDTF">2026-04-26T02:36:00Z</dcterms:created>
  <dcterms:modified xsi:type="dcterms:W3CDTF">2026-07-17T03:10:00Z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eyJoZGlkIjoiOThjZjI1MjI5ZmY3N2Y2M2Y4MjhlOGFlMjg4YTZmNTYiLCJ1c2VySWQiOiI0NTI4MjExMTMifQ==</vt:lpwstr>
  </property>
  <property fmtid="{D5CDD505-2E9C-101B-9397-08002B2CF9AE}" pid="4" name="ICV">
    <vt:lpwstr>389780E7EB7B43AF83663DE481C0A223_12</vt:lpwstr>
  </property>
</Properties>
</file>