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D2" w:rsidRPr="00486CE5" w:rsidRDefault="002D3C0A" w:rsidP="00C838D2">
      <w:pPr>
        <w:tabs>
          <w:tab w:val="left" w:pos="2505"/>
        </w:tabs>
        <w:snapToGrid w:val="0"/>
        <w:spacing w:before="0" w:after="0" w:line="480" w:lineRule="auto"/>
        <w:jc w:val="both"/>
        <w:rPr>
          <w:rFonts w:ascii="Times New Roman" w:hAnsi="Times New Roman" w:hint="eastAsia"/>
          <w:b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 xml:space="preserve">Supplementary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C838D2" w:rsidRPr="00486CE5">
        <w:rPr>
          <w:rFonts w:ascii="Times New Roman" w:hAnsi="Times New Roman"/>
          <w:b/>
          <w:sz w:val="24"/>
          <w:szCs w:val="24"/>
          <w:lang w:val="en-US"/>
        </w:rPr>
        <w:t>3.</w:t>
      </w:r>
      <w:proofErr w:type="gramEnd"/>
      <w:r w:rsidR="00C838D2" w:rsidRPr="00486CE5">
        <w:rPr>
          <w:rFonts w:ascii="Times New Roman" w:hAnsi="Times New Roman"/>
          <w:b/>
          <w:sz w:val="24"/>
          <w:szCs w:val="24"/>
          <w:lang w:val="en-US"/>
        </w:rPr>
        <w:t xml:space="preserve"> Fold-change and </w:t>
      </w:r>
      <w:r w:rsidR="00C838D2" w:rsidRPr="00486CE5">
        <w:rPr>
          <w:rFonts w:ascii="Times New Roman" w:hAnsi="Times New Roman"/>
          <w:b/>
          <w:i/>
          <w:iCs/>
          <w:sz w:val="24"/>
          <w:szCs w:val="24"/>
          <w:lang w:val="en-US"/>
        </w:rPr>
        <w:t>p</w:t>
      </w:r>
      <w:r w:rsidR="00C838D2" w:rsidRPr="00486CE5">
        <w:rPr>
          <w:rFonts w:ascii="Times New Roman" w:hAnsi="Times New Roman"/>
          <w:b/>
          <w:sz w:val="24"/>
          <w:szCs w:val="24"/>
          <w:lang w:val="en-US"/>
        </w:rPr>
        <w:t>-value of mRNA gene expression in NASH as compared to healthy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conditions at day 8 and day 10</w:t>
      </w:r>
    </w:p>
    <w:tbl>
      <w:tblPr>
        <w:tblpPr w:leftFromText="180" w:rightFromText="180" w:vertAnchor="text" w:horzAnchor="margin" w:tblpY="63"/>
        <w:tblW w:w="1234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1"/>
        <w:gridCol w:w="1559"/>
        <w:gridCol w:w="1276"/>
        <w:gridCol w:w="142"/>
        <w:gridCol w:w="1701"/>
        <w:gridCol w:w="1417"/>
        <w:gridCol w:w="4962"/>
      </w:tblGrid>
      <w:tr w:rsidR="002D3C0A" w:rsidRPr="00486CE5" w:rsidTr="004E29BF">
        <w:trPr>
          <w:trHeight w:val="32"/>
        </w:trPr>
        <w:tc>
          <w:tcPr>
            <w:tcW w:w="129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>Gene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Day 8 </w:t>
            </w:r>
          </w:p>
        </w:tc>
        <w:tc>
          <w:tcPr>
            <w:tcW w:w="142" w:type="dxa"/>
            <w:vMerge w:val="restart"/>
            <w:tcBorders>
              <w:bottom w:val="single" w:sz="4" w:space="0" w:color="auto"/>
            </w:tcBorders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Day 10 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>Gene description</w:t>
            </w:r>
          </w:p>
        </w:tc>
      </w:tr>
      <w:tr w:rsidR="004E29BF" w:rsidRPr="00486CE5" w:rsidTr="004E29BF">
        <w:trPr>
          <w:trHeight w:val="32"/>
        </w:trPr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kern w:val="24"/>
                <w:sz w:val="24"/>
                <w:szCs w:val="24"/>
                <w:lang w:val="en-US" w:eastAsia="zh-CN"/>
              </w:rPr>
              <w:t>F</w:t>
            </w:r>
            <w:r w:rsidRPr="00486CE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>old-change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i/>
                <w:iCs/>
                <w:kern w:val="24"/>
                <w:sz w:val="24"/>
                <w:szCs w:val="24"/>
                <w:lang w:val="en-US"/>
              </w:rPr>
              <w:t>p</w:t>
            </w:r>
            <w:r w:rsidRPr="00486CE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1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kern w:val="24"/>
                <w:sz w:val="24"/>
                <w:szCs w:val="24"/>
                <w:lang w:val="en-US" w:eastAsia="zh-CN"/>
              </w:rPr>
              <w:t>F</w:t>
            </w:r>
            <w:r w:rsidRPr="00486CE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>old-change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i/>
                <w:iCs/>
                <w:kern w:val="24"/>
                <w:sz w:val="24"/>
                <w:szCs w:val="24"/>
                <w:lang w:val="en-US"/>
              </w:rPr>
              <w:t>p</w:t>
            </w:r>
            <w:r w:rsidRPr="00486CE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ABCB1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0.99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0.76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ATP binding cassette subfamily B member 1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ABCB11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42" w:type="dxa"/>
            <w:tcBorders>
              <w:top w:val="nil"/>
            </w:tcBorders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ATP binding cassette subfamily B member 11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ABCC2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-1.2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0.87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0.90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ATP binding cassette subfamily C member 2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ACTA2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-2.9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4.93E-15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-2.4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1.469E-11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actin, alpha 2, smooth muscle, aorta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CCL2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4.1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8.72E-10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5.6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2.515E-20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C-C motif chemokine ligand 2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CD274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4.681E-10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CD274 molecule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COL1A1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-1.9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-2.8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8.858E-12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collagen type I alpha 1 chain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CXCL8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13.4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4.25E-45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14.6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2.934E-62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C-X-C motif chemokine ligand 8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CXCL10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10.6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3.89E-13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22.7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5.981E-33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C-X-C motif chemokine ligand 10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CYP3A4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-1.3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-1.8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0.10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cytochrome P450 family 3 subfamily A member 4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CYP7A1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3.545E-05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cytochrome P450 family 7 subfamily A member 1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ICAM1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3.342E-05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intercellular adhesion molecule 1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ICAM2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9.63E-08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7.1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1.334E-36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intercellular adhesion molecule 2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IL6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6.48E-05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interleukin 6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MAP3K5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3.08E-08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6.875E-26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mitogen-activated protein kinase </w:t>
            </w:r>
            <w:proofErr w:type="spellStart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kinase</w:t>
            </w:r>
            <w:proofErr w:type="spellEnd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kinase</w:t>
            </w:r>
            <w:proofErr w:type="spellEnd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 5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MMP2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0.16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matrix </w:t>
            </w:r>
            <w:proofErr w:type="spellStart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metallopeptidase</w:t>
            </w:r>
            <w:proofErr w:type="spellEnd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 2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MMP9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6.6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2.651E-13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matrix </w:t>
            </w:r>
            <w:proofErr w:type="spellStart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metallopeptidase</w:t>
            </w:r>
            <w:proofErr w:type="spellEnd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 9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UGT1A1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-1.3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0.82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1.2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0.66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UDP </w:t>
            </w:r>
            <w:proofErr w:type="spellStart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glucuronosyltransferase</w:t>
            </w:r>
            <w:proofErr w:type="spellEnd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 family 1 member A1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UGT2B7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-1.2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-1.0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0.97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UDP </w:t>
            </w:r>
            <w:proofErr w:type="spellStart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glucuronosyltransferase</w:t>
            </w:r>
            <w:proofErr w:type="spellEnd"/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 xml:space="preserve"> family 2 member B7</w:t>
            </w:r>
          </w:p>
        </w:tc>
      </w:tr>
      <w:tr w:rsidR="004E29BF" w:rsidRPr="00486CE5" w:rsidTr="004E29BF">
        <w:trPr>
          <w:trHeight w:val="300"/>
        </w:trPr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Del="003D2CF0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VCAM1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Del="003D2CF0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Del="003D2CF0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2.71E-07</w:t>
            </w:r>
          </w:p>
        </w:tc>
        <w:tc>
          <w:tcPr>
            <w:tcW w:w="142" w:type="dxa"/>
          </w:tcPr>
          <w:p w:rsidR="002D3C0A" w:rsidRPr="00486CE5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Del="003D2CF0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3.0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Del="003D2CF0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9.886E-14</w:t>
            </w:r>
          </w:p>
        </w:tc>
        <w:tc>
          <w:tcPr>
            <w:tcW w:w="4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3C0A" w:rsidRPr="00486CE5" w:rsidDel="003D2CF0" w:rsidRDefault="002D3C0A" w:rsidP="002D3C0A">
            <w:pPr>
              <w:snapToGrid w:val="0"/>
              <w:spacing w:before="0" w:after="0" w:line="240" w:lineRule="auto"/>
              <w:jc w:val="both"/>
              <w:textAlignment w:val="bottom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vascular cell adhesion molecule 1</w:t>
            </w:r>
          </w:p>
        </w:tc>
      </w:tr>
    </w:tbl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 w:hint="eastAsia"/>
          <w:lang w:eastAsia="zh-CN"/>
        </w:rPr>
      </w:pPr>
    </w:p>
    <w:p w:rsidR="002D3C0A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eastAsiaTheme="minorEastAsia" w:hAnsi="Times New Roman" w:hint="eastAsia"/>
          <w:lang w:eastAsia="zh-CN"/>
        </w:rPr>
      </w:pPr>
      <w:r w:rsidRPr="00486CE5">
        <w:rPr>
          <w:rFonts w:ascii="Times New Roman" w:eastAsia="Times New Roman" w:hAnsi="Times New Roman"/>
        </w:rPr>
        <w:lastRenderedPageBreak/>
        <w:t xml:space="preserve">Fold-change of counts per million values and </w:t>
      </w:r>
      <w:r w:rsidRPr="00486CE5">
        <w:rPr>
          <w:rFonts w:ascii="Times New Roman" w:eastAsia="Times New Roman" w:hAnsi="Times New Roman"/>
          <w:i/>
          <w:iCs/>
        </w:rPr>
        <w:t>p</w:t>
      </w:r>
      <w:r w:rsidRPr="00486CE5">
        <w:rPr>
          <w:rFonts w:ascii="Times New Roman" w:eastAsia="Times New Roman" w:hAnsi="Times New Roman"/>
        </w:rPr>
        <w:t xml:space="preserve">-value calculated with </w:t>
      </w:r>
      <w:r w:rsidRPr="00486CE5">
        <w:rPr>
          <w:rFonts w:ascii="Times New Roman" w:hAnsi="Times New Roman"/>
        </w:rPr>
        <w:t>DESeq2</w:t>
      </w:r>
      <w:r w:rsidRPr="00486CE5">
        <w:rPr>
          <w:rFonts w:ascii="Times New Roman" w:eastAsia="Times New Roman" w:hAnsi="Times New Roman"/>
        </w:rPr>
        <w:t xml:space="preserve">. Significant differentially-expressed genes are defined by </w:t>
      </w:r>
      <w:r w:rsidRPr="00486CE5">
        <w:rPr>
          <w:rFonts w:ascii="Times New Roman" w:eastAsia="Times New Roman" w:hAnsi="Times New Roman"/>
          <w:i/>
          <w:iCs/>
        </w:rPr>
        <w:t>p</w:t>
      </w:r>
      <w:r w:rsidRPr="00486CE5">
        <w:rPr>
          <w:rFonts w:ascii="Times New Roman" w:eastAsia="Times New Roman" w:hAnsi="Times New Roman"/>
        </w:rPr>
        <w:sym w:font="Symbol" w:char="F03C"/>
      </w:r>
      <w:r w:rsidRPr="00486CE5">
        <w:rPr>
          <w:rFonts w:ascii="Times New Roman" w:eastAsia="Times New Roman" w:hAnsi="Times New Roman"/>
        </w:rPr>
        <w:t xml:space="preserve">0.05. </w:t>
      </w:r>
    </w:p>
    <w:p w:rsidR="00C838D2" w:rsidRPr="00486CE5" w:rsidRDefault="002D3C0A" w:rsidP="002D3C0A">
      <w:pPr>
        <w:pStyle w:val="AbstractSummary"/>
        <w:snapToGrid w:val="0"/>
        <w:spacing w:before="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eastAsiaTheme="minorEastAsia" w:hAnsi="Times New Roman" w:hint="eastAsia"/>
          <w:lang w:eastAsia="zh-CN"/>
        </w:rPr>
        <w:t xml:space="preserve">Abbreviation: </w:t>
      </w:r>
      <w:r w:rsidRPr="00486CE5">
        <w:rPr>
          <w:rFonts w:ascii="Times New Roman" w:eastAsia="Times New Roman" w:hAnsi="Times New Roman"/>
        </w:rPr>
        <w:t>ATP, adenosine triphosphate.</w:t>
      </w:r>
    </w:p>
    <w:sectPr w:rsidR="00C838D2" w:rsidRPr="00486CE5" w:rsidSect="002D3C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0A" w:rsidRDefault="002D3C0A" w:rsidP="002D3C0A">
      <w:pPr>
        <w:spacing w:before="0" w:after="0" w:line="240" w:lineRule="auto"/>
      </w:pPr>
      <w:r>
        <w:separator/>
      </w:r>
    </w:p>
  </w:endnote>
  <w:endnote w:type="continuationSeparator" w:id="0">
    <w:p w:rsidR="002D3C0A" w:rsidRDefault="002D3C0A" w:rsidP="002D3C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0A" w:rsidRDefault="002D3C0A" w:rsidP="002D3C0A">
      <w:pPr>
        <w:spacing w:before="0" w:after="0" w:line="240" w:lineRule="auto"/>
      </w:pPr>
      <w:r>
        <w:separator/>
      </w:r>
    </w:p>
  </w:footnote>
  <w:footnote w:type="continuationSeparator" w:id="0">
    <w:p w:rsidR="002D3C0A" w:rsidRDefault="002D3C0A" w:rsidP="002D3C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2"/>
    <w:rsid w:val="002D3C0A"/>
    <w:rsid w:val="004E29BF"/>
    <w:rsid w:val="00C838D2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2"/>
    <w:pPr>
      <w:spacing w:before="100" w:after="200" w:line="276" w:lineRule="auto"/>
    </w:pPr>
    <w:rPr>
      <w:rFonts w:ascii="Calibri" w:eastAsia="宋体" w:hAnsi="Calibri" w:cs="Times New Roman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C838D2"/>
    <w:pPr>
      <w:spacing w:before="120"/>
    </w:pPr>
    <w:rPr>
      <w:sz w:val="24"/>
      <w:szCs w:val="24"/>
      <w:lang w:val="en-US" w:eastAsia="en-US"/>
    </w:rPr>
  </w:style>
  <w:style w:type="paragraph" w:customStyle="1" w:styleId="PRBTableHeader">
    <w:name w:val="PRBTableHeader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Cell">
    <w:name w:val="PRBTableCell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Note">
    <w:name w:val="PRBTableNot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Title">
    <w:name w:val="PRBTableTitl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unhideWhenUsed/>
    <w:rsid w:val="002D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0A"/>
    <w:rPr>
      <w:rFonts w:ascii="Calibri" w:eastAsia="宋体" w:hAnsi="Calibri" w:cs="Times New Roman"/>
      <w:kern w:val="0"/>
      <w:sz w:val="18"/>
      <w:szCs w:val="18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2D3C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0A"/>
    <w:rPr>
      <w:rFonts w:ascii="Calibri" w:eastAsia="宋体" w:hAnsi="Calibri" w:cs="Times New Roman"/>
      <w:kern w:val="0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2"/>
    <w:pPr>
      <w:spacing w:before="100" w:after="200" w:line="276" w:lineRule="auto"/>
    </w:pPr>
    <w:rPr>
      <w:rFonts w:ascii="Calibri" w:eastAsia="宋体" w:hAnsi="Calibri" w:cs="Times New Roman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C838D2"/>
    <w:pPr>
      <w:spacing w:before="120"/>
    </w:pPr>
    <w:rPr>
      <w:sz w:val="24"/>
      <w:szCs w:val="24"/>
      <w:lang w:val="en-US" w:eastAsia="en-US"/>
    </w:rPr>
  </w:style>
  <w:style w:type="paragraph" w:customStyle="1" w:styleId="PRBTableHeader">
    <w:name w:val="PRBTableHeader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Cell">
    <w:name w:val="PRBTableCell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Note">
    <w:name w:val="PRBTableNot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Title">
    <w:name w:val="PRBTableTitl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unhideWhenUsed/>
    <w:rsid w:val="002D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0A"/>
    <w:rPr>
      <w:rFonts w:ascii="Calibri" w:eastAsia="宋体" w:hAnsi="Calibri" w:cs="Times New Roman"/>
      <w:kern w:val="0"/>
      <w:sz w:val="18"/>
      <w:szCs w:val="18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2D3C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0A"/>
    <w:rPr>
      <w:rFonts w:ascii="Calibri" w:eastAsia="宋体" w:hAnsi="Calibri" w:cs="Times New Roman"/>
      <w:kern w:val="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Company>HP Inc.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4</cp:revision>
  <dcterms:created xsi:type="dcterms:W3CDTF">2020-06-11T10:28:00Z</dcterms:created>
  <dcterms:modified xsi:type="dcterms:W3CDTF">2020-06-11T11:04:00Z</dcterms:modified>
</cp:coreProperties>
</file>