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CBCC9" w14:textId="36AB713B" w:rsidR="00260BDE" w:rsidRDefault="00000000">
      <w:pPr>
        <w:spacing w:after="100"/>
        <w:jc w:val="center"/>
      </w:pPr>
      <w:r>
        <w:rPr>
          <w:rFonts w:eastAsia="Arial"/>
          <w:b/>
          <w:bCs/>
          <w:sz w:val="22"/>
          <w:szCs w:val="22"/>
        </w:rPr>
        <w:t>Supplementary Table 1.  BA-MRS Scoring Codebook: Four-Level Audit Criteria for 36 Items</w:t>
      </w:r>
    </w:p>
    <w:p w14:paraId="73A348D4" w14:textId="77777777" w:rsidR="00260BDE" w:rsidRDefault="00000000">
      <w:pPr>
        <w:spacing w:after="150"/>
        <w:jc w:val="center"/>
      </w:pPr>
      <w:r>
        <w:rPr>
          <w:rFonts w:eastAsia="Arial"/>
          <w:i/>
          <w:iCs/>
          <w:color w:val="555555"/>
          <w:sz w:val="16"/>
          <w:szCs w:val="16"/>
        </w:rPr>
        <w:t>Each item was scored independently by two reviewers using the criteria below. Items scored as NA were excluded from the denominator when calculating reporting rates.</w:t>
      </w:r>
    </w:p>
    <w:tbl>
      <w:tblPr>
        <w:tblW w:w="1445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8"/>
        <w:gridCol w:w="2102"/>
        <w:gridCol w:w="856"/>
        <w:gridCol w:w="3544"/>
        <w:gridCol w:w="2835"/>
        <w:gridCol w:w="2409"/>
        <w:gridCol w:w="1984"/>
      </w:tblGrid>
      <w:tr w:rsidR="000E0ABD" w:rsidRPr="000E0ABD" w14:paraId="04A1E619" w14:textId="77777777" w:rsidTr="000E0ABD">
        <w:trPr>
          <w:tblHeader/>
        </w:trPr>
        <w:tc>
          <w:tcPr>
            <w:tcW w:w="728" w:type="dxa"/>
            <w:tcBorders>
              <w:top w:val="single" w:sz="2" w:space="0" w:color="666666"/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A2DD6BD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5"/>
                <w:szCs w:val="15"/>
              </w:rPr>
              <w:t>Item</w:t>
            </w:r>
          </w:p>
        </w:tc>
        <w:tc>
          <w:tcPr>
            <w:tcW w:w="2102" w:type="dxa"/>
            <w:tcBorders>
              <w:top w:val="single" w:sz="2" w:space="0" w:color="666666"/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B93F5E4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5"/>
                <w:szCs w:val="15"/>
              </w:rPr>
              <w:t>Description</w:t>
            </w:r>
          </w:p>
        </w:tc>
        <w:tc>
          <w:tcPr>
            <w:tcW w:w="856" w:type="dxa"/>
            <w:tcBorders>
              <w:top w:val="single" w:sz="2" w:space="0" w:color="666666"/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64CEE83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5"/>
                <w:szCs w:val="15"/>
              </w:rPr>
              <w:t>Level</w:t>
            </w:r>
          </w:p>
        </w:tc>
        <w:tc>
          <w:tcPr>
            <w:tcW w:w="3544" w:type="dxa"/>
            <w:tcBorders>
              <w:top w:val="single" w:sz="2" w:space="0" w:color="666666"/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0670AC2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5"/>
                <w:szCs w:val="15"/>
              </w:rPr>
              <w:t>√ (Fully reported)</w:t>
            </w:r>
          </w:p>
        </w:tc>
        <w:tc>
          <w:tcPr>
            <w:tcW w:w="2835" w:type="dxa"/>
            <w:tcBorders>
              <w:top w:val="single" w:sz="2" w:space="0" w:color="666666"/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C146EEB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5"/>
                <w:szCs w:val="15"/>
              </w:rPr>
              <w:t>△ (Partially reported)</w:t>
            </w:r>
          </w:p>
        </w:tc>
        <w:tc>
          <w:tcPr>
            <w:tcW w:w="2409" w:type="dxa"/>
            <w:tcBorders>
              <w:top w:val="single" w:sz="2" w:space="0" w:color="666666"/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6F02149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5"/>
                <w:szCs w:val="15"/>
              </w:rPr>
              <w:t>× (Not reported)</w:t>
            </w:r>
          </w:p>
        </w:tc>
        <w:tc>
          <w:tcPr>
            <w:tcW w:w="1984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539C75C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5"/>
                <w:szCs w:val="15"/>
              </w:rPr>
              <w:t>NA (When allowed)</w:t>
            </w:r>
          </w:p>
        </w:tc>
      </w:tr>
      <w:tr w:rsidR="000E0ABD" w:rsidRPr="000E0ABD" w14:paraId="24E20066" w14:textId="77777777" w:rsidTr="000E0ABD">
        <w:tc>
          <w:tcPr>
            <w:tcW w:w="14458" w:type="dxa"/>
            <w:gridSpan w:val="7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205001C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6"/>
                <w:szCs w:val="16"/>
              </w:rPr>
              <w:t>Domain 1: Disease &amp; Clinical Context (6 items)</w:t>
            </w:r>
          </w:p>
        </w:tc>
      </w:tr>
      <w:tr w:rsidR="000E0ABD" w:rsidRPr="000E0ABD" w14:paraId="2AC38F05" w14:textId="77777777" w:rsidTr="000E0ABD">
        <w:tc>
          <w:tcPr>
            <w:tcW w:w="728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D3614D0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D1_01</w:t>
            </w:r>
          </w:p>
        </w:tc>
        <w:tc>
          <w:tcPr>
            <w:tcW w:w="2102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EC9152D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BA case/model definition</w:t>
            </w:r>
          </w:p>
        </w:tc>
        <w:tc>
          <w:tcPr>
            <w:tcW w:w="856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33E403B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3"/>
                <w:szCs w:val="13"/>
              </w:rPr>
              <w:t>Core</w:t>
            </w:r>
          </w:p>
        </w:tc>
        <w:tc>
          <w:tcPr>
            <w:tcW w:w="3544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632EC06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Explicit BA diagnosis or BA model stated</w:t>
            </w:r>
          </w:p>
        </w:tc>
        <w:tc>
          <w:tcPr>
            <w:tcW w:w="2835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A95A528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Implied but not explicitly stated</w:t>
            </w:r>
          </w:p>
        </w:tc>
        <w:tc>
          <w:tcPr>
            <w:tcW w:w="2409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9EDB67C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 BA definition</w:t>
            </w:r>
          </w:p>
        </w:tc>
        <w:tc>
          <w:tcPr>
            <w:tcW w:w="1984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F7EB3C6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—</w:t>
            </w:r>
          </w:p>
        </w:tc>
      </w:tr>
      <w:tr w:rsidR="000E0ABD" w:rsidRPr="000E0ABD" w14:paraId="782C7240" w14:textId="77777777" w:rsidTr="000E0ABD">
        <w:tc>
          <w:tcPr>
            <w:tcW w:w="72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B526F5C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D1_02</w:t>
            </w:r>
          </w:p>
        </w:tc>
        <w:tc>
          <w:tcPr>
            <w:tcW w:w="2102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486ED46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BA subtype/phenotype</w:t>
            </w:r>
          </w:p>
        </w:tc>
        <w:tc>
          <w:tcPr>
            <w:tcW w:w="8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7494989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Optional</w:t>
            </w:r>
          </w:p>
        </w:tc>
        <w:tc>
          <w:tcPr>
            <w:tcW w:w="354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196BB99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Specific BA subtype (e.g., embryonic/perinatal, syndromic, CMV⁺) reported</w:t>
            </w:r>
          </w:p>
        </w:tc>
        <w:tc>
          <w:tcPr>
            <w:tcW w:w="2835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EA7CA94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General mention of subtype without detail</w:t>
            </w:r>
          </w:p>
        </w:tc>
        <w:tc>
          <w:tcPr>
            <w:tcW w:w="2409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6135C1E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Not reported</w:t>
            </w:r>
          </w:p>
        </w:tc>
        <w:tc>
          <w:tcPr>
            <w:tcW w:w="198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FC1C842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Animal model / non-patient study</w:t>
            </w:r>
          </w:p>
        </w:tc>
      </w:tr>
      <w:tr w:rsidR="000E0ABD" w:rsidRPr="000E0ABD" w14:paraId="3EEC7441" w14:textId="77777777" w:rsidTr="000E0ABD">
        <w:tc>
          <w:tcPr>
            <w:tcW w:w="72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C27FF34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D1_03</w:t>
            </w:r>
          </w:p>
        </w:tc>
        <w:tc>
          <w:tcPr>
            <w:tcW w:w="2102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57654C5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Tissue source &amp; anatomical site</w:t>
            </w:r>
          </w:p>
        </w:tc>
        <w:tc>
          <w:tcPr>
            <w:tcW w:w="8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79ECC1B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3"/>
                <w:szCs w:val="13"/>
              </w:rPr>
              <w:t>Core</w:t>
            </w:r>
          </w:p>
        </w:tc>
        <w:tc>
          <w:tcPr>
            <w:tcW w:w="354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208E6AD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Anatomical source (e.g., intrahepatic, extrahepatic, Kasai remnant) clearly stated</w:t>
            </w:r>
          </w:p>
        </w:tc>
        <w:tc>
          <w:tcPr>
            <w:tcW w:w="2835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A863D88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Mentioned but vague</w:t>
            </w:r>
          </w:p>
        </w:tc>
        <w:tc>
          <w:tcPr>
            <w:tcW w:w="2409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AF37D93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Not stated</w:t>
            </w:r>
          </w:p>
        </w:tc>
        <w:tc>
          <w:tcPr>
            <w:tcW w:w="198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A252AEC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—</w:t>
            </w:r>
          </w:p>
        </w:tc>
      </w:tr>
      <w:tr w:rsidR="000E0ABD" w:rsidRPr="000E0ABD" w14:paraId="56AE863A" w14:textId="77777777" w:rsidTr="000E0ABD">
        <w:tc>
          <w:tcPr>
            <w:tcW w:w="72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034B742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D1_04</w:t>
            </w:r>
          </w:p>
        </w:tc>
        <w:tc>
          <w:tcPr>
            <w:tcW w:w="2102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1672A0E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Sampling timepoint</w:t>
            </w:r>
          </w:p>
        </w:tc>
        <w:tc>
          <w:tcPr>
            <w:tcW w:w="8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DC53512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3"/>
                <w:szCs w:val="13"/>
              </w:rPr>
              <w:t>Core</w:t>
            </w:r>
          </w:p>
        </w:tc>
        <w:tc>
          <w:tcPr>
            <w:tcW w:w="354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191F984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Age at surgery / model timepoint explicitly reported</w:t>
            </w:r>
          </w:p>
        </w:tc>
        <w:tc>
          <w:tcPr>
            <w:tcW w:w="2835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81DE7BD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Approximate or range given</w:t>
            </w:r>
          </w:p>
        </w:tc>
        <w:tc>
          <w:tcPr>
            <w:tcW w:w="2409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E500CA3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Not stated</w:t>
            </w:r>
          </w:p>
        </w:tc>
        <w:tc>
          <w:tcPr>
            <w:tcW w:w="198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0018DEE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—</w:t>
            </w:r>
          </w:p>
        </w:tc>
      </w:tr>
      <w:tr w:rsidR="000E0ABD" w:rsidRPr="000E0ABD" w14:paraId="2A45AEDF" w14:textId="77777777" w:rsidTr="000E0ABD">
        <w:tc>
          <w:tcPr>
            <w:tcW w:w="72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06043B4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D1_05</w:t>
            </w:r>
          </w:p>
        </w:tc>
        <w:tc>
          <w:tcPr>
            <w:tcW w:w="2102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8120F8F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Baseline cholestatic biochemistry</w:t>
            </w:r>
          </w:p>
        </w:tc>
        <w:tc>
          <w:tcPr>
            <w:tcW w:w="8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7EB9926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Optional</w:t>
            </w:r>
          </w:p>
        </w:tc>
        <w:tc>
          <w:tcPr>
            <w:tcW w:w="354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45F117F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≥1 of TB, DB, GGT, or equivalent biochemistry reported with values</w:t>
            </w:r>
          </w:p>
        </w:tc>
        <w:tc>
          <w:tcPr>
            <w:tcW w:w="2835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E2F29BA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Mentioned qualitatively (e.g., “elevated”) without values</w:t>
            </w:r>
          </w:p>
        </w:tc>
        <w:tc>
          <w:tcPr>
            <w:tcW w:w="2409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2609052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Not reported</w:t>
            </w:r>
          </w:p>
        </w:tc>
        <w:tc>
          <w:tcPr>
            <w:tcW w:w="198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D8D8C22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Animal model / no clinical samples</w:t>
            </w:r>
          </w:p>
        </w:tc>
      </w:tr>
      <w:tr w:rsidR="000E0ABD" w:rsidRPr="000E0ABD" w14:paraId="404491C0" w14:textId="77777777" w:rsidTr="000E0ABD">
        <w:tc>
          <w:tcPr>
            <w:tcW w:w="728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E527588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D1_06</w:t>
            </w:r>
          </w:p>
        </w:tc>
        <w:tc>
          <w:tcPr>
            <w:tcW w:w="2102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C73B80D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Clinical outcome &amp; definition</w:t>
            </w:r>
          </w:p>
        </w:tc>
        <w:tc>
          <w:tcPr>
            <w:tcW w:w="856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E6895CE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Optional</w:t>
            </w:r>
          </w:p>
        </w:tc>
        <w:tc>
          <w:tcPr>
            <w:tcW w:w="3544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D47B376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≥1 clinical outcome with definition (e.g., jaundice clearance at 6 mo, NLS criteria)</w:t>
            </w:r>
          </w:p>
        </w:tc>
        <w:tc>
          <w:tcPr>
            <w:tcW w:w="2835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2BC957A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Outcome mentioned without definition/timeframe</w:t>
            </w:r>
          </w:p>
        </w:tc>
        <w:tc>
          <w:tcPr>
            <w:tcW w:w="2409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7BF3A78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Not reported</w:t>
            </w:r>
          </w:p>
        </w:tc>
        <w:tc>
          <w:tcPr>
            <w:tcW w:w="198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E32DC92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Animal model / purely mechanistic study</w:t>
            </w:r>
          </w:p>
        </w:tc>
      </w:tr>
      <w:tr w:rsidR="000E0ABD" w:rsidRPr="000E0ABD" w14:paraId="683E0B5D" w14:textId="77777777" w:rsidTr="000E0ABD">
        <w:tc>
          <w:tcPr>
            <w:tcW w:w="14458" w:type="dxa"/>
            <w:gridSpan w:val="7"/>
            <w:tcBorders>
              <w:top w:val="single" w:sz="2" w:space="0" w:color="666666"/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1983BE2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6"/>
                <w:szCs w:val="16"/>
              </w:rPr>
              <w:t>Domain 2: Sample Acquisition &amp; Processing (6 items)</w:t>
            </w:r>
          </w:p>
        </w:tc>
      </w:tr>
      <w:tr w:rsidR="000E0ABD" w:rsidRPr="000E0ABD" w14:paraId="213B4464" w14:textId="77777777" w:rsidTr="000E0ABD">
        <w:tc>
          <w:tcPr>
            <w:tcW w:w="728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F46ECD1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D2_01</w:t>
            </w:r>
          </w:p>
        </w:tc>
        <w:tc>
          <w:tcPr>
            <w:tcW w:w="2102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EF7D555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Ethics/informed consent/animal ethics</w:t>
            </w:r>
          </w:p>
        </w:tc>
        <w:tc>
          <w:tcPr>
            <w:tcW w:w="856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4BFFBB1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3"/>
                <w:szCs w:val="13"/>
              </w:rPr>
              <w:t>Core</w:t>
            </w:r>
          </w:p>
        </w:tc>
        <w:tc>
          <w:tcPr>
            <w:tcW w:w="3544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42778AA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Ethics approval number and/or informed consent stated</w:t>
            </w:r>
          </w:p>
        </w:tc>
        <w:tc>
          <w:tcPr>
            <w:tcW w:w="2835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94CD08D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General ethics statement without approval number</w:t>
            </w:r>
          </w:p>
        </w:tc>
        <w:tc>
          <w:tcPr>
            <w:tcW w:w="2409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2E96CF1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Not mentioned</w:t>
            </w:r>
          </w:p>
        </w:tc>
        <w:tc>
          <w:tcPr>
            <w:tcW w:w="1984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0052A79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—</w:t>
            </w:r>
          </w:p>
        </w:tc>
      </w:tr>
      <w:tr w:rsidR="000E0ABD" w:rsidRPr="000E0ABD" w14:paraId="28B202D7" w14:textId="77777777" w:rsidTr="000E0ABD">
        <w:tc>
          <w:tcPr>
            <w:tcW w:w="72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9BB8166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D2_02</w:t>
            </w:r>
          </w:p>
        </w:tc>
        <w:tc>
          <w:tcPr>
            <w:tcW w:w="2102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960146D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Time to processing &amp; sample handling</w:t>
            </w:r>
          </w:p>
        </w:tc>
        <w:tc>
          <w:tcPr>
            <w:tcW w:w="8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5FC6280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Optional</w:t>
            </w:r>
          </w:p>
        </w:tc>
        <w:tc>
          <w:tcPr>
            <w:tcW w:w="354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E5BBE97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Cold ischaemia time or processing window explicitly stated</w:t>
            </w:r>
          </w:p>
        </w:tc>
        <w:tc>
          <w:tcPr>
            <w:tcW w:w="2835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0AB6486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Mentioned indirectly (e.g., “processed within hours”)</w:t>
            </w:r>
          </w:p>
        </w:tc>
        <w:tc>
          <w:tcPr>
            <w:tcW w:w="2409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A3C2EF7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Not stated</w:t>
            </w:r>
          </w:p>
        </w:tc>
        <w:tc>
          <w:tcPr>
            <w:tcW w:w="198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1E27BBE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—</w:t>
            </w:r>
          </w:p>
        </w:tc>
      </w:tr>
      <w:tr w:rsidR="000E0ABD" w:rsidRPr="000E0ABD" w14:paraId="5D1D13C8" w14:textId="77777777" w:rsidTr="000E0ABD">
        <w:tc>
          <w:tcPr>
            <w:tcW w:w="72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023AB46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D2_03</w:t>
            </w:r>
          </w:p>
        </w:tc>
        <w:tc>
          <w:tcPr>
            <w:tcW w:w="2102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36E8CFA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Tissue digestion/dissociation protocol</w:t>
            </w:r>
          </w:p>
        </w:tc>
        <w:tc>
          <w:tcPr>
            <w:tcW w:w="8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322FF8D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3"/>
                <w:szCs w:val="13"/>
              </w:rPr>
              <w:t>Core</w:t>
            </w:r>
          </w:p>
        </w:tc>
        <w:tc>
          <w:tcPr>
            <w:tcW w:w="354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0B2AEEC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Enzyme(s), concentration, duration, temperature stated</w:t>
            </w:r>
          </w:p>
        </w:tc>
        <w:tc>
          <w:tcPr>
            <w:tcW w:w="2835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1ED6063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Partial (e.g., enzyme named but no concentration)</w:t>
            </w:r>
          </w:p>
        </w:tc>
        <w:tc>
          <w:tcPr>
            <w:tcW w:w="2409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A9788D7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Not described</w:t>
            </w:r>
          </w:p>
        </w:tc>
        <w:tc>
          <w:tcPr>
            <w:tcW w:w="198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2694F89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—</w:t>
            </w:r>
          </w:p>
        </w:tc>
      </w:tr>
      <w:tr w:rsidR="000E0ABD" w:rsidRPr="000E0ABD" w14:paraId="08F67AC3" w14:textId="77777777" w:rsidTr="000E0ABD">
        <w:tc>
          <w:tcPr>
            <w:tcW w:w="72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F8CD7C4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D2_04</w:t>
            </w:r>
          </w:p>
        </w:tc>
        <w:tc>
          <w:tcPr>
            <w:tcW w:w="2102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93E5A90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Seeding format &amp; method</w:t>
            </w:r>
          </w:p>
        </w:tc>
        <w:tc>
          <w:tcPr>
            <w:tcW w:w="8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825106C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3"/>
                <w:szCs w:val="13"/>
              </w:rPr>
              <w:t>Core</w:t>
            </w:r>
          </w:p>
        </w:tc>
        <w:tc>
          <w:tcPr>
            <w:tcW w:w="354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0F3A500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Single cell / tissue fragment / organoid piece + embedding method stated</w:t>
            </w:r>
          </w:p>
        </w:tc>
        <w:tc>
          <w:tcPr>
            <w:tcW w:w="2835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E0DB974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Partial description</w:t>
            </w:r>
          </w:p>
        </w:tc>
        <w:tc>
          <w:tcPr>
            <w:tcW w:w="2409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F9089C9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Not described</w:t>
            </w:r>
          </w:p>
        </w:tc>
        <w:tc>
          <w:tcPr>
            <w:tcW w:w="198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702940D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—</w:t>
            </w:r>
          </w:p>
        </w:tc>
      </w:tr>
      <w:tr w:rsidR="000E0ABD" w:rsidRPr="000E0ABD" w14:paraId="09D261B7" w14:textId="77777777" w:rsidTr="000E0ABD">
        <w:tc>
          <w:tcPr>
            <w:tcW w:w="72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2D03B9E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D2_05</w:t>
            </w:r>
          </w:p>
        </w:tc>
        <w:tc>
          <w:tcPr>
            <w:tcW w:w="2102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98BFFC1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Cell enrichment/selection</w:t>
            </w:r>
          </w:p>
        </w:tc>
        <w:tc>
          <w:tcPr>
            <w:tcW w:w="8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ADF6368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3"/>
                <w:szCs w:val="13"/>
              </w:rPr>
              <w:t>Core</w:t>
            </w:r>
          </w:p>
        </w:tc>
        <w:tc>
          <w:tcPr>
            <w:tcW w:w="354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6F573E1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Enrichment method stated OR explicitly stated “no enrichment performed”</w:t>
            </w:r>
          </w:p>
        </w:tc>
        <w:tc>
          <w:tcPr>
            <w:tcW w:w="2835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16B7C8B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Implied but not explicit</w:t>
            </w:r>
          </w:p>
        </w:tc>
        <w:tc>
          <w:tcPr>
            <w:tcW w:w="2409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395B96F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Not mentioned</w:t>
            </w:r>
          </w:p>
        </w:tc>
        <w:tc>
          <w:tcPr>
            <w:tcW w:w="198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1F7C878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Cell line-based study</w:t>
            </w:r>
          </w:p>
        </w:tc>
      </w:tr>
      <w:tr w:rsidR="000E0ABD" w:rsidRPr="000E0ABD" w14:paraId="0B942E0A" w14:textId="77777777" w:rsidTr="000E0ABD">
        <w:tc>
          <w:tcPr>
            <w:tcW w:w="728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6FB4CD8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D2_06</w:t>
            </w:r>
          </w:p>
        </w:tc>
        <w:tc>
          <w:tcPr>
            <w:tcW w:w="2102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1BFF07B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Sample preservation/cryopreservation</w:t>
            </w:r>
          </w:p>
        </w:tc>
        <w:tc>
          <w:tcPr>
            <w:tcW w:w="856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B797BBF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Optional</w:t>
            </w:r>
          </w:p>
        </w:tc>
        <w:tc>
          <w:tcPr>
            <w:tcW w:w="3544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E8D18CB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Cryopreservation medium, cooling rate, or protocol stated</w:t>
            </w:r>
          </w:p>
        </w:tc>
        <w:tc>
          <w:tcPr>
            <w:tcW w:w="2835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5FCE562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Mentioned but incomplete</w:t>
            </w:r>
          </w:p>
        </w:tc>
        <w:tc>
          <w:tcPr>
            <w:tcW w:w="2409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1F8BEEF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Not mentioned despite using cryopreserved samples</w:t>
            </w:r>
          </w:p>
        </w:tc>
        <w:tc>
          <w:tcPr>
            <w:tcW w:w="1984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EC1CAF7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Fresh tissue only; no cryopreservation involved</w:t>
            </w:r>
          </w:p>
        </w:tc>
      </w:tr>
      <w:tr w:rsidR="000E0ABD" w:rsidRPr="000E0ABD" w14:paraId="5BBA7617" w14:textId="77777777" w:rsidTr="000E0ABD">
        <w:tc>
          <w:tcPr>
            <w:tcW w:w="14458" w:type="dxa"/>
            <w:gridSpan w:val="7"/>
            <w:tcBorders>
              <w:top w:val="single" w:sz="2" w:space="0" w:color="666666"/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EB6F3F9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6"/>
                <w:szCs w:val="16"/>
              </w:rPr>
              <w:t>Domain 3: Culture System (7 items)</w:t>
            </w:r>
          </w:p>
        </w:tc>
      </w:tr>
      <w:tr w:rsidR="000E0ABD" w:rsidRPr="000E0ABD" w14:paraId="1C899849" w14:textId="77777777" w:rsidTr="000E0ABD">
        <w:tc>
          <w:tcPr>
            <w:tcW w:w="728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B513A02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D3_01</w:t>
            </w:r>
          </w:p>
        </w:tc>
        <w:tc>
          <w:tcPr>
            <w:tcW w:w="2102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62B168D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Matrix type/brand/catalogue number</w:t>
            </w:r>
          </w:p>
        </w:tc>
        <w:tc>
          <w:tcPr>
            <w:tcW w:w="856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E0CDF11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3"/>
                <w:szCs w:val="13"/>
              </w:rPr>
              <w:t>Core</w:t>
            </w:r>
          </w:p>
        </w:tc>
        <w:tc>
          <w:tcPr>
            <w:tcW w:w="3544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ED6395D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Matrix name + brand + catalogue number (lot not required)</w:t>
            </w:r>
          </w:p>
        </w:tc>
        <w:tc>
          <w:tcPr>
            <w:tcW w:w="2835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B636261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Matrix name only; no brand/catalogue number</w:t>
            </w:r>
          </w:p>
        </w:tc>
        <w:tc>
          <w:tcPr>
            <w:tcW w:w="2409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EC1E28D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Not stated</w:t>
            </w:r>
          </w:p>
        </w:tc>
        <w:tc>
          <w:tcPr>
            <w:tcW w:w="1984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F1D27B7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—</w:t>
            </w:r>
          </w:p>
        </w:tc>
      </w:tr>
      <w:tr w:rsidR="000E0ABD" w:rsidRPr="000E0ABD" w14:paraId="735CACC9" w14:textId="77777777" w:rsidTr="000E0ABD">
        <w:tc>
          <w:tcPr>
            <w:tcW w:w="72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5A3E549" w14:textId="77777777" w:rsidR="00260BDE" w:rsidRPr="00AE4948" w:rsidRDefault="00000000" w:rsidP="00AE4948">
            <w:pPr>
              <w:rPr>
                <w:rFonts w:eastAsia="Arial"/>
                <w:color w:val="000000" w:themeColor="text1"/>
                <w:sz w:val="13"/>
                <w:szCs w:val="13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D3_02</w:t>
            </w:r>
          </w:p>
        </w:tc>
        <w:tc>
          <w:tcPr>
            <w:tcW w:w="2102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BA00745" w14:textId="77777777" w:rsidR="00260BDE" w:rsidRPr="00AE4948" w:rsidRDefault="00000000" w:rsidP="00AE4948">
            <w:pPr>
              <w:rPr>
                <w:rFonts w:eastAsia="Arial"/>
                <w:color w:val="000000" w:themeColor="text1"/>
                <w:sz w:val="13"/>
                <w:szCs w:val="13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Medium composition &amp; key factors</w:t>
            </w:r>
          </w:p>
        </w:tc>
        <w:tc>
          <w:tcPr>
            <w:tcW w:w="8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543D588" w14:textId="77777777" w:rsidR="00260BDE" w:rsidRPr="00AE4948" w:rsidRDefault="00000000" w:rsidP="00AE4948">
            <w:pPr>
              <w:rPr>
                <w:rFonts w:eastAsia="Arial"/>
                <w:color w:val="000000" w:themeColor="text1"/>
                <w:sz w:val="13"/>
                <w:szCs w:val="13"/>
              </w:rPr>
            </w:pPr>
            <w:r w:rsidRPr="00AE4948">
              <w:rPr>
                <w:rFonts w:eastAsia="Arial"/>
                <w:color w:val="000000" w:themeColor="text1"/>
                <w:sz w:val="13"/>
                <w:szCs w:val="13"/>
              </w:rPr>
              <w:t>Core</w:t>
            </w:r>
          </w:p>
        </w:tc>
        <w:tc>
          <w:tcPr>
            <w:tcW w:w="354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66398B9" w14:textId="77777777" w:rsidR="00260BDE" w:rsidRPr="00AE4948" w:rsidRDefault="00000000" w:rsidP="00AE4948">
            <w:pPr>
              <w:rPr>
                <w:rFonts w:eastAsia="Arial"/>
                <w:color w:val="000000" w:themeColor="text1"/>
                <w:sz w:val="13"/>
                <w:szCs w:val="13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Base medium + ≥3 key supplements with concentrations</w:t>
            </w:r>
          </w:p>
        </w:tc>
        <w:tc>
          <w:tcPr>
            <w:tcW w:w="2835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5E6D4A4" w14:textId="77777777" w:rsidR="00260BDE" w:rsidRPr="00AE4948" w:rsidRDefault="00000000" w:rsidP="00AE4948">
            <w:pPr>
              <w:rPr>
                <w:rFonts w:eastAsia="Arial"/>
                <w:color w:val="000000" w:themeColor="text1"/>
                <w:sz w:val="13"/>
                <w:szCs w:val="13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Medium named; supplements listed without full concentrations</w:t>
            </w:r>
          </w:p>
        </w:tc>
        <w:tc>
          <w:tcPr>
            <w:tcW w:w="2409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3784C7B" w14:textId="77777777" w:rsidR="00260BDE" w:rsidRPr="00AE4948" w:rsidRDefault="00000000" w:rsidP="00AE4948">
            <w:pPr>
              <w:rPr>
                <w:rFonts w:eastAsia="Arial"/>
                <w:color w:val="000000" w:themeColor="text1"/>
                <w:sz w:val="13"/>
                <w:szCs w:val="13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Not described or just “standard medium”</w:t>
            </w:r>
          </w:p>
        </w:tc>
        <w:tc>
          <w:tcPr>
            <w:tcW w:w="198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91AC74D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—</w:t>
            </w:r>
          </w:p>
        </w:tc>
      </w:tr>
      <w:tr w:rsidR="000E0ABD" w:rsidRPr="000E0ABD" w14:paraId="11B9090E" w14:textId="77777777" w:rsidTr="000E0ABD">
        <w:tc>
          <w:tcPr>
            <w:tcW w:w="72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55D96BA" w14:textId="77777777" w:rsidR="00260BDE" w:rsidRPr="00AE4948" w:rsidRDefault="00000000" w:rsidP="00AE4948">
            <w:pPr>
              <w:rPr>
                <w:rFonts w:eastAsia="Arial"/>
                <w:color w:val="000000" w:themeColor="text1"/>
                <w:sz w:val="13"/>
                <w:szCs w:val="13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D3_03</w:t>
            </w:r>
          </w:p>
        </w:tc>
        <w:tc>
          <w:tcPr>
            <w:tcW w:w="2102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26C3337" w14:textId="77777777" w:rsidR="00EE5E9A" w:rsidRPr="00AE4948" w:rsidRDefault="00000000" w:rsidP="00AE4948">
            <w:pPr>
              <w:rPr>
                <w:rFonts w:eastAsia="Arial"/>
                <w:color w:val="000000" w:themeColor="text1"/>
                <w:sz w:val="13"/>
                <w:szCs w:val="13"/>
              </w:rPr>
            </w:pPr>
            <w:r w:rsidRPr="00AE4948">
              <w:rPr>
                <w:rFonts w:eastAsia="Arial"/>
                <w:color w:val="000000" w:themeColor="text1"/>
                <w:sz w:val="13"/>
                <w:szCs w:val="13"/>
              </w:rPr>
              <w:t>Culture environment (temperature / CO</w:t>
            </w:r>
            <w:r w:rsidRPr="00AE4948">
              <w:rPr>
                <w:rFonts w:ascii="Cambria Math" w:eastAsia="Arial" w:hAnsi="Cambria Math" w:cs="Cambria Math"/>
                <w:color w:val="000000" w:themeColor="text1"/>
                <w:sz w:val="13"/>
                <w:szCs w:val="13"/>
              </w:rPr>
              <w:t>₂</w:t>
            </w:r>
            <w:r w:rsidRPr="00AE4948">
              <w:rPr>
                <w:rFonts w:eastAsia="Arial"/>
                <w:color w:val="000000" w:themeColor="text1"/>
                <w:sz w:val="13"/>
                <w:szCs w:val="13"/>
              </w:rPr>
              <w:t xml:space="preserve"> environment)</w:t>
            </w:r>
          </w:p>
        </w:tc>
        <w:tc>
          <w:tcPr>
            <w:tcW w:w="8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BF5900E" w14:textId="77777777" w:rsidR="00260BDE" w:rsidRPr="00AE4948" w:rsidRDefault="00000000" w:rsidP="00AE4948">
            <w:pPr>
              <w:rPr>
                <w:rFonts w:eastAsia="Arial"/>
                <w:color w:val="000000" w:themeColor="text1"/>
                <w:sz w:val="13"/>
                <w:szCs w:val="13"/>
              </w:rPr>
            </w:pPr>
            <w:r w:rsidRPr="00AE4948">
              <w:rPr>
                <w:rFonts w:eastAsia="Arial"/>
                <w:color w:val="000000" w:themeColor="text1"/>
                <w:sz w:val="13"/>
                <w:szCs w:val="13"/>
              </w:rPr>
              <w:t>Core</w:t>
            </w:r>
          </w:p>
        </w:tc>
        <w:tc>
          <w:tcPr>
            <w:tcW w:w="354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6A46971" w14:textId="77777777" w:rsidR="00EE5E9A" w:rsidRPr="00AE4948" w:rsidRDefault="00000000" w:rsidP="00AE4948">
            <w:pPr>
              <w:rPr>
                <w:rFonts w:eastAsia="Arial"/>
                <w:color w:val="000000" w:themeColor="text1"/>
                <w:sz w:val="13"/>
                <w:szCs w:val="13"/>
              </w:rPr>
            </w:pPr>
            <w:r w:rsidRPr="00AE4948">
              <w:rPr>
                <w:rFonts w:eastAsia="Arial"/>
                <w:color w:val="000000" w:themeColor="text1"/>
                <w:sz w:val="13"/>
                <w:szCs w:val="13"/>
              </w:rPr>
              <w:t>Routine organoid culture temperature explicitly reported (e.g., 37°C), with CO</w:t>
            </w:r>
            <w:r w:rsidRPr="00AE4948">
              <w:rPr>
                <w:rFonts w:ascii="Cambria Math" w:eastAsia="Arial" w:hAnsi="Cambria Math" w:cs="Cambria Math"/>
                <w:color w:val="000000" w:themeColor="text1"/>
                <w:sz w:val="13"/>
                <w:szCs w:val="13"/>
              </w:rPr>
              <w:t>₂</w:t>
            </w:r>
            <w:r w:rsidRPr="00AE4948">
              <w:rPr>
                <w:rFonts w:eastAsia="Arial"/>
                <w:color w:val="000000" w:themeColor="text1"/>
                <w:sz w:val="13"/>
                <w:szCs w:val="13"/>
              </w:rPr>
              <w:t>/incubator environment reported when specified; exact CO</w:t>
            </w:r>
            <w:r w:rsidRPr="00AE4948">
              <w:rPr>
                <w:rFonts w:ascii="Cambria Math" w:eastAsia="Arial" w:hAnsi="Cambria Math" w:cs="Cambria Math"/>
                <w:color w:val="000000" w:themeColor="text1"/>
                <w:sz w:val="13"/>
                <w:szCs w:val="13"/>
              </w:rPr>
              <w:t>₂</w:t>
            </w:r>
            <w:r w:rsidRPr="00AE4948">
              <w:rPr>
                <w:rFonts w:eastAsia="Arial"/>
                <w:color w:val="000000" w:themeColor="text1"/>
                <w:sz w:val="13"/>
                <w:szCs w:val="13"/>
              </w:rPr>
              <w:t xml:space="preserve"> percentage not mandatory if standard culture conditions are otherwise adequately described</w:t>
            </w:r>
          </w:p>
        </w:tc>
        <w:tc>
          <w:tcPr>
            <w:tcW w:w="2835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C6DCD5F" w14:textId="77777777" w:rsidR="00EE5E9A" w:rsidRPr="00AE4948" w:rsidRDefault="00000000" w:rsidP="00AE4948">
            <w:pPr>
              <w:rPr>
                <w:rFonts w:eastAsia="Arial"/>
                <w:color w:val="000000" w:themeColor="text1"/>
                <w:sz w:val="13"/>
                <w:szCs w:val="13"/>
              </w:rPr>
            </w:pPr>
            <w:r w:rsidRPr="00AE4948">
              <w:rPr>
                <w:rFonts w:eastAsia="Arial"/>
                <w:color w:val="000000" w:themeColor="text1"/>
                <w:sz w:val="13"/>
                <w:szCs w:val="13"/>
              </w:rPr>
              <w:t>Only indirect or incomplete incubation information provided (e.g., matrix solidification, digestion, or assay incubation), or temperature/CO</w:t>
            </w:r>
            <w:r w:rsidRPr="00AE4948">
              <w:rPr>
                <w:rFonts w:ascii="Cambria Math" w:eastAsia="Arial" w:hAnsi="Cambria Math" w:cs="Cambria Math"/>
                <w:color w:val="000000" w:themeColor="text1"/>
                <w:sz w:val="13"/>
                <w:szCs w:val="13"/>
              </w:rPr>
              <w:t>₂</w:t>
            </w:r>
            <w:r w:rsidRPr="00AE4948">
              <w:rPr>
                <w:rFonts w:eastAsia="Arial"/>
                <w:color w:val="000000" w:themeColor="text1"/>
                <w:sz w:val="13"/>
                <w:szCs w:val="13"/>
              </w:rPr>
              <w:t xml:space="preserve"> mentioned without clear routine organoid culture context</w:t>
            </w:r>
          </w:p>
        </w:tc>
        <w:tc>
          <w:tcPr>
            <w:tcW w:w="2409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B6C8DA0" w14:textId="77777777" w:rsidR="00EE5E9A" w:rsidRPr="00AE4948" w:rsidRDefault="00000000" w:rsidP="00AE4948">
            <w:pPr>
              <w:rPr>
                <w:rFonts w:eastAsia="Arial"/>
                <w:color w:val="000000" w:themeColor="text1"/>
                <w:sz w:val="13"/>
                <w:szCs w:val="13"/>
              </w:rPr>
            </w:pPr>
            <w:r w:rsidRPr="00AE4948">
              <w:rPr>
                <w:rFonts w:eastAsia="Arial"/>
                <w:color w:val="000000" w:themeColor="text1"/>
                <w:sz w:val="13"/>
                <w:szCs w:val="13"/>
              </w:rPr>
              <w:t>No organoid incubation condition reported</w:t>
            </w:r>
          </w:p>
        </w:tc>
        <w:tc>
          <w:tcPr>
            <w:tcW w:w="198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E822457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—</w:t>
            </w:r>
          </w:p>
        </w:tc>
      </w:tr>
      <w:tr w:rsidR="000E0ABD" w:rsidRPr="000E0ABD" w14:paraId="191C5E70" w14:textId="77777777" w:rsidTr="000E0ABD">
        <w:tc>
          <w:tcPr>
            <w:tcW w:w="72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29D23B3" w14:textId="77777777" w:rsidR="00260BDE" w:rsidRPr="00AE4948" w:rsidRDefault="00000000" w:rsidP="00AE4948">
            <w:pPr>
              <w:rPr>
                <w:rFonts w:eastAsia="Arial"/>
                <w:color w:val="000000" w:themeColor="text1"/>
                <w:sz w:val="13"/>
                <w:szCs w:val="13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D3_04</w:t>
            </w:r>
          </w:p>
        </w:tc>
        <w:tc>
          <w:tcPr>
            <w:tcW w:w="2102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16F33B0" w14:textId="77777777" w:rsidR="00260BDE" w:rsidRPr="00AE4948" w:rsidRDefault="00000000" w:rsidP="00AE4948">
            <w:pPr>
              <w:rPr>
                <w:rFonts w:eastAsia="Arial"/>
                <w:color w:val="000000" w:themeColor="text1"/>
                <w:sz w:val="13"/>
                <w:szCs w:val="13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Seeding density / split ratio</w:t>
            </w:r>
          </w:p>
        </w:tc>
        <w:tc>
          <w:tcPr>
            <w:tcW w:w="8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21EC07C" w14:textId="77777777" w:rsidR="00260BDE" w:rsidRPr="00AE4948" w:rsidRDefault="00000000" w:rsidP="00AE4948">
            <w:pPr>
              <w:rPr>
                <w:rFonts w:eastAsia="Arial"/>
                <w:color w:val="000000" w:themeColor="text1"/>
                <w:sz w:val="13"/>
                <w:szCs w:val="13"/>
              </w:rPr>
            </w:pPr>
            <w:r w:rsidRPr="00AE4948">
              <w:rPr>
                <w:rFonts w:eastAsia="Arial"/>
                <w:color w:val="000000" w:themeColor="text1"/>
                <w:sz w:val="13"/>
                <w:szCs w:val="13"/>
              </w:rPr>
              <w:t>Core</w:t>
            </w:r>
          </w:p>
        </w:tc>
        <w:tc>
          <w:tcPr>
            <w:tcW w:w="354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0CAFB7C" w14:textId="77777777" w:rsidR="00260BDE" w:rsidRPr="00AE4948" w:rsidRDefault="00000000" w:rsidP="00AE4948">
            <w:pPr>
              <w:rPr>
                <w:rFonts w:eastAsia="Arial"/>
                <w:color w:val="000000" w:themeColor="text1"/>
                <w:sz w:val="13"/>
                <w:szCs w:val="13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Cells/well or split ratio explicitly stated</w:t>
            </w:r>
          </w:p>
        </w:tc>
        <w:tc>
          <w:tcPr>
            <w:tcW w:w="2835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61EA4DC" w14:textId="77777777" w:rsidR="00260BDE" w:rsidRPr="00AE4948" w:rsidRDefault="00000000" w:rsidP="00AE4948">
            <w:pPr>
              <w:rPr>
                <w:rFonts w:eastAsia="Arial"/>
                <w:color w:val="000000" w:themeColor="text1"/>
                <w:sz w:val="13"/>
                <w:szCs w:val="13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Approximate (e.g., “low density”)</w:t>
            </w:r>
          </w:p>
        </w:tc>
        <w:tc>
          <w:tcPr>
            <w:tcW w:w="2409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0A74A09" w14:textId="77777777" w:rsidR="00260BDE" w:rsidRPr="00AE4948" w:rsidRDefault="00000000" w:rsidP="00AE4948">
            <w:pPr>
              <w:rPr>
                <w:rFonts w:eastAsia="Arial"/>
                <w:color w:val="000000" w:themeColor="text1"/>
                <w:sz w:val="13"/>
                <w:szCs w:val="13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Not stated</w:t>
            </w:r>
          </w:p>
        </w:tc>
        <w:tc>
          <w:tcPr>
            <w:tcW w:w="198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CD02B5D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—</w:t>
            </w:r>
          </w:p>
        </w:tc>
      </w:tr>
      <w:tr w:rsidR="000E0ABD" w:rsidRPr="000E0ABD" w14:paraId="2FF108B9" w14:textId="77777777" w:rsidTr="000E0ABD">
        <w:tc>
          <w:tcPr>
            <w:tcW w:w="72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05FA562" w14:textId="77777777" w:rsidR="00260BDE" w:rsidRPr="00AE4948" w:rsidRDefault="00000000" w:rsidP="00AE4948">
            <w:pPr>
              <w:rPr>
                <w:rFonts w:eastAsia="Arial"/>
                <w:color w:val="000000" w:themeColor="text1"/>
                <w:sz w:val="13"/>
                <w:szCs w:val="13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D3_05</w:t>
            </w:r>
          </w:p>
        </w:tc>
        <w:tc>
          <w:tcPr>
            <w:tcW w:w="2102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058915F" w14:textId="77777777" w:rsidR="00260BDE" w:rsidRPr="00AE4948" w:rsidRDefault="00000000" w:rsidP="00AE4948">
            <w:pPr>
              <w:rPr>
                <w:rFonts w:eastAsia="Arial"/>
                <w:color w:val="000000" w:themeColor="text1"/>
                <w:sz w:val="13"/>
                <w:szCs w:val="13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Passage number &amp; experimental timepoint</w:t>
            </w:r>
          </w:p>
        </w:tc>
        <w:tc>
          <w:tcPr>
            <w:tcW w:w="8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0CDAB3A" w14:textId="77777777" w:rsidR="00260BDE" w:rsidRPr="00AE4948" w:rsidRDefault="00000000" w:rsidP="00AE4948">
            <w:pPr>
              <w:rPr>
                <w:rFonts w:eastAsia="Arial"/>
                <w:color w:val="000000" w:themeColor="text1"/>
                <w:sz w:val="13"/>
                <w:szCs w:val="13"/>
              </w:rPr>
            </w:pPr>
            <w:r w:rsidRPr="00AE4948">
              <w:rPr>
                <w:rFonts w:eastAsia="Arial"/>
                <w:color w:val="000000" w:themeColor="text1"/>
                <w:sz w:val="13"/>
                <w:szCs w:val="13"/>
              </w:rPr>
              <w:t>Core</w:t>
            </w:r>
          </w:p>
        </w:tc>
        <w:tc>
          <w:tcPr>
            <w:tcW w:w="354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D2E8F02" w14:textId="77777777" w:rsidR="00260BDE" w:rsidRPr="00AE4948" w:rsidRDefault="00000000" w:rsidP="00AE4948">
            <w:pPr>
              <w:rPr>
                <w:rFonts w:eastAsia="Arial"/>
                <w:color w:val="000000" w:themeColor="text1"/>
                <w:sz w:val="13"/>
                <w:szCs w:val="13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Passage number at experiment AND culture duration stated</w:t>
            </w:r>
          </w:p>
        </w:tc>
        <w:tc>
          <w:tcPr>
            <w:tcW w:w="2835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E312FBF" w14:textId="77777777" w:rsidR="00260BDE" w:rsidRPr="00AE4948" w:rsidRDefault="00000000" w:rsidP="00AE4948">
            <w:pPr>
              <w:rPr>
                <w:rFonts w:eastAsia="Arial"/>
                <w:color w:val="000000" w:themeColor="text1"/>
                <w:sz w:val="13"/>
                <w:szCs w:val="13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Only one of the two stated</w:t>
            </w:r>
          </w:p>
        </w:tc>
        <w:tc>
          <w:tcPr>
            <w:tcW w:w="2409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0018688" w14:textId="77777777" w:rsidR="00260BDE" w:rsidRPr="00AE4948" w:rsidRDefault="00000000" w:rsidP="00AE4948">
            <w:pPr>
              <w:rPr>
                <w:rFonts w:eastAsia="Arial"/>
                <w:color w:val="000000" w:themeColor="text1"/>
                <w:sz w:val="13"/>
                <w:szCs w:val="13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Neither stated</w:t>
            </w:r>
          </w:p>
        </w:tc>
        <w:tc>
          <w:tcPr>
            <w:tcW w:w="198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592E892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—</w:t>
            </w:r>
          </w:p>
        </w:tc>
      </w:tr>
      <w:tr w:rsidR="000E0ABD" w:rsidRPr="000E0ABD" w14:paraId="1DDEC070" w14:textId="77777777" w:rsidTr="000E0ABD">
        <w:tc>
          <w:tcPr>
            <w:tcW w:w="72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CE87952" w14:textId="77777777" w:rsidR="00260BDE" w:rsidRPr="00AE4948" w:rsidRDefault="00000000" w:rsidP="00AE4948">
            <w:pPr>
              <w:rPr>
                <w:rFonts w:eastAsia="Arial"/>
                <w:color w:val="000000" w:themeColor="text1"/>
                <w:sz w:val="13"/>
                <w:szCs w:val="13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D3_06</w:t>
            </w:r>
          </w:p>
        </w:tc>
        <w:tc>
          <w:tcPr>
            <w:tcW w:w="2102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D833002" w14:textId="77777777" w:rsidR="00260BDE" w:rsidRPr="00AE4948" w:rsidRDefault="00000000" w:rsidP="00AE4948">
            <w:pPr>
              <w:rPr>
                <w:rFonts w:eastAsia="Arial"/>
                <w:color w:val="000000" w:themeColor="text1"/>
                <w:sz w:val="13"/>
                <w:szCs w:val="13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Differentiation/stimulation protocol</w:t>
            </w:r>
          </w:p>
        </w:tc>
        <w:tc>
          <w:tcPr>
            <w:tcW w:w="8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CD581CF" w14:textId="77777777" w:rsidR="00260BDE" w:rsidRPr="00AE4948" w:rsidRDefault="00000000" w:rsidP="00AE4948">
            <w:pPr>
              <w:rPr>
                <w:rFonts w:eastAsia="Arial"/>
                <w:color w:val="000000" w:themeColor="text1"/>
                <w:sz w:val="13"/>
                <w:szCs w:val="13"/>
              </w:rPr>
            </w:pPr>
            <w:r w:rsidRPr="00AE4948">
              <w:rPr>
                <w:rFonts w:eastAsia="Arial"/>
                <w:color w:val="000000" w:themeColor="text1"/>
                <w:sz w:val="13"/>
                <w:szCs w:val="13"/>
              </w:rPr>
              <w:t>Core</w:t>
            </w:r>
          </w:p>
        </w:tc>
        <w:tc>
          <w:tcPr>
            <w:tcW w:w="354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5E1CE2C" w14:textId="77777777" w:rsidR="00260BDE" w:rsidRPr="00AE4948" w:rsidRDefault="00000000" w:rsidP="00AE4948">
            <w:pPr>
              <w:rPr>
                <w:rFonts w:eastAsia="Arial"/>
                <w:color w:val="000000" w:themeColor="text1"/>
                <w:sz w:val="13"/>
                <w:szCs w:val="13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Full differentiation/stimulation protocol with reagents &amp; timing</w:t>
            </w:r>
          </w:p>
        </w:tc>
        <w:tc>
          <w:tcPr>
            <w:tcW w:w="2835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2AF3E15" w14:textId="77777777" w:rsidR="00260BDE" w:rsidRPr="00AE4948" w:rsidRDefault="00000000" w:rsidP="00AE4948">
            <w:pPr>
              <w:rPr>
                <w:rFonts w:eastAsia="Arial"/>
                <w:color w:val="000000" w:themeColor="text1"/>
                <w:sz w:val="13"/>
                <w:szCs w:val="13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Partial description</w:t>
            </w:r>
          </w:p>
        </w:tc>
        <w:tc>
          <w:tcPr>
            <w:tcW w:w="2409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7ED8C22" w14:textId="77777777" w:rsidR="00260BDE" w:rsidRPr="00AE4948" w:rsidRDefault="00000000" w:rsidP="00AE4948">
            <w:pPr>
              <w:rPr>
                <w:rFonts w:eastAsia="Arial"/>
                <w:color w:val="000000" w:themeColor="text1"/>
                <w:sz w:val="13"/>
                <w:szCs w:val="13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Not described despite using differentiation</w:t>
            </w:r>
          </w:p>
        </w:tc>
        <w:tc>
          <w:tcPr>
            <w:tcW w:w="198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F25F2C1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 differentiation/stimulation used</w:t>
            </w:r>
          </w:p>
        </w:tc>
      </w:tr>
      <w:tr w:rsidR="000E0ABD" w:rsidRPr="000E0ABD" w14:paraId="4889FC75" w14:textId="77777777" w:rsidTr="000E0ABD">
        <w:tc>
          <w:tcPr>
            <w:tcW w:w="728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58958F1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D3_07</w:t>
            </w:r>
          </w:p>
        </w:tc>
        <w:tc>
          <w:tcPr>
            <w:tcW w:w="2102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125B746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Contamination monitoring &amp; QC</w:t>
            </w:r>
          </w:p>
        </w:tc>
        <w:tc>
          <w:tcPr>
            <w:tcW w:w="856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EF4A1DE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3"/>
                <w:szCs w:val="13"/>
              </w:rPr>
              <w:t>Core</w:t>
            </w:r>
          </w:p>
        </w:tc>
        <w:tc>
          <w:tcPr>
            <w:tcW w:w="3544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9F28649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Mycoplasma testing result stated (positive/negative/not tested)</w:t>
            </w:r>
          </w:p>
        </w:tc>
        <w:tc>
          <w:tcPr>
            <w:tcW w:w="2835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8166C2E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QC mentioned but no mycoplasma specifically</w:t>
            </w:r>
          </w:p>
        </w:tc>
        <w:tc>
          <w:tcPr>
            <w:tcW w:w="2409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F41181B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 QC mentioned</w:t>
            </w:r>
          </w:p>
        </w:tc>
        <w:tc>
          <w:tcPr>
            <w:tcW w:w="1984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F46C1EA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—</w:t>
            </w:r>
          </w:p>
        </w:tc>
      </w:tr>
      <w:tr w:rsidR="000E0ABD" w:rsidRPr="000E0ABD" w14:paraId="50180BDF" w14:textId="77777777" w:rsidTr="000E0ABD">
        <w:tc>
          <w:tcPr>
            <w:tcW w:w="14458" w:type="dxa"/>
            <w:gridSpan w:val="7"/>
            <w:tcBorders>
              <w:top w:val="single" w:sz="2" w:space="0" w:color="666666"/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0A6F529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6"/>
                <w:szCs w:val="16"/>
              </w:rPr>
              <w:t>Domain 4: Characterization (5 items)</w:t>
            </w:r>
          </w:p>
        </w:tc>
      </w:tr>
      <w:tr w:rsidR="000E0ABD" w:rsidRPr="000E0ABD" w14:paraId="6F1E51D4" w14:textId="77777777" w:rsidTr="000E0ABD">
        <w:tc>
          <w:tcPr>
            <w:tcW w:w="728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58C4C18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D4_01</w:t>
            </w:r>
          </w:p>
        </w:tc>
        <w:tc>
          <w:tcPr>
            <w:tcW w:w="2102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25005A4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Identity marker panel</w:t>
            </w:r>
          </w:p>
        </w:tc>
        <w:tc>
          <w:tcPr>
            <w:tcW w:w="856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2F54503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3"/>
                <w:szCs w:val="13"/>
              </w:rPr>
              <w:t>Core</w:t>
            </w:r>
          </w:p>
        </w:tc>
        <w:tc>
          <w:tcPr>
            <w:tcW w:w="3544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6655529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≥3 biliary markers from established panel reported</w:t>
            </w:r>
          </w:p>
        </w:tc>
        <w:tc>
          <w:tcPr>
            <w:tcW w:w="2835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880F445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1–2 markers only</w:t>
            </w:r>
          </w:p>
        </w:tc>
        <w:tc>
          <w:tcPr>
            <w:tcW w:w="2409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6279D88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 identity markers</w:t>
            </w:r>
          </w:p>
        </w:tc>
        <w:tc>
          <w:tcPr>
            <w:tcW w:w="1984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8D35986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—</w:t>
            </w:r>
          </w:p>
        </w:tc>
      </w:tr>
      <w:tr w:rsidR="000E0ABD" w:rsidRPr="000E0ABD" w14:paraId="5E12E983" w14:textId="77777777" w:rsidTr="000E0ABD">
        <w:tc>
          <w:tcPr>
            <w:tcW w:w="72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9361E49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D4_02</w:t>
            </w:r>
          </w:p>
        </w:tc>
        <w:tc>
          <w:tcPr>
            <w:tcW w:w="2102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C34C27E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Characterization method</w:t>
            </w:r>
          </w:p>
        </w:tc>
        <w:tc>
          <w:tcPr>
            <w:tcW w:w="8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F162BDE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3"/>
                <w:szCs w:val="13"/>
              </w:rPr>
              <w:t>Core</w:t>
            </w:r>
          </w:p>
        </w:tc>
        <w:tc>
          <w:tcPr>
            <w:tcW w:w="354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09DEA86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Method(s) specified (IF, qPCR, FACS, WB, etc.) with key details</w:t>
            </w:r>
          </w:p>
        </w:tc>
        <w:tc>
          <w:tcPr>
            <w:tcW w:w="2835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53AC85C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Method named without details</w:t>
            </w:r>
          </w:p>
        </w:tc>
        <w:tc>
          <w:tcPr>
            <w:tcW w:w="2409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B25354F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Not described</w:t>
            </w:r>
          </w:p>
        </w:tc>
        <w:tc>
          <w:tcPr>
            <w:tcW w:w="198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D7AE0E8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—</w:t>
            </w:r>
          </w:p>
        </w:tc>
      </w:tr>
      <w:tr w:rsidR="000E0ABD" w:rsidRPr="000E0ABD" w14:paraId="1303BAE4" w14:textId="77777777" w:rsidTr="000E0ABD">
        <w:tc>
          <w:tcPr>
            <w:tcW w:w="72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6954080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lastRenderedPageBreak/>
              <w:t>D4_03</w:t>
            </w:r>
          </w:p>
        </w:tc>
        <w:tc>
          <w:tcPr>
            <w:tcW w:w="2102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6D83647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Structural phenotype &amp; assay</w:t>
            </w:r>
          </w:p>
        </w:tc>
        <w:tc>
          <w:tcPr>
            <w:tcW w:w="8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FA74271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3"/>
                <w:szCs w:val="13"/>
              </w:rPr>
              <w:t>Core</w:t>
            </w:r>
          </w:p>
        </w:tc>
        <w:tc>
          <w:tcPr>
            <w:tcW w:w="354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EACE49C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≥2 structural features assessed (lumen, polarity, cilia, TJ)</w:t>
            </w:r>
          </w:p>
        </w:tc>
        <w:tc>
          <w:tcPr>
            <w:tcW w:w="2835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9CAFC4E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1 feature or morphology only</w:t>
            </w:r>
          </w:p>
        </w:tc>
        <w:tc>
          <w:tcPr>
            <w:tcW w:w="2409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B3E08B0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 structural assessment</w:t>
            </w:r>
          </w:p>
        </w:tc>
        <w:tc>
          <w:tcPr>
            <w:tcW w:w="198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5E0254C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—</w:t>
            </w:r>
          </w:p>
        </w:tc>
      </w:tr>
      <w:tr w:rsidR="000E0ABD" w:rsidRPr="000E0ABD" w14:paraId="5DC48530" w14:textId="77777777" w:rsidTr="000E0ABD">
        <w:tc>
          <w:tcPr>
            <w:tcW w:w="72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1256DFC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D4_04</w:t>
            </w:r>
          </w:p>
        </w:tc>
        <w:tc>
          <w:tcPr>
            <w:tcW w:w="2102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3F91604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Comparison/validation against parent tissue/controls</w:t>
            </w:r>
          </w:p>
        </w:tc>
        <w:tc>
          <w:tcPr>
            <w:tcW w:w="8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5CE7D81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3"/>
                <w:szCs w:val="13"/>
              </w:rPr>
              <w:t>Core</w:t>
            </w:r>
          </w:p>
        </w:tc>
        <w:tc>
          <w:tcPr>
            <w:tcW w:w="354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DB1A6D7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Direct comparison with parent tissue OR appropriate controls shown</w:t>
            </w:r>
          </w:p>
        </w:tc>
        <w:tc>
          <w:tcPr>
            <w:tcW w:w="2835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35A4BF0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Qualitative comparison mentioned</w:t>
            </w:r>
          </w:p>
        </w:tc>
        <w:tc>
          <w:tcPr>
            <w:tcW w:w="2409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A201B1E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 comparison</w:t>
            </w:r>
          </w:p>
        </w:tc>
        <w:tc>
          <w:tcPr>
            <w:tcW w:w="198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CBD1B13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—</w:t>
            </w:r>
          </w:p>
        </w:tc>
      </w:tr>
      <w:tr w:rsidR="000E0ABD" w:rsidRPr="000E0ABD" w14:paraId="31DAD790" w14:textId="77777777" w:rsidTr="000E0ABD">
        <w:tc>
          <w:tcPr>
            <w:tcW w:w="728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73661BF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D4_05</w:t>
            </w:r>
          </w:p>
        </w:tc>
        <w:tc>
          <w:tcPr>
            <w:tcW w:w="2102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C50B806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Purity/heterogeneity assessment</w:t>
            </w:r>
          </w:p>
        </w:tc>
        <w:tc>
          <w:tcPr>
            <w:tcW w:w="856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FB09DA4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Optional</w:t>
            </w:r>
          </w:p>
        </w:tc>
        <w:tc>
          <w:tcPr>
            <w:tcW w:w="3544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59C5FCA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Quantitative purity assessment (e.g., % CK19⁺ by FACS)</w:t>
            </w:r>
          </w:p>
        </w:tc>
        <w:tc>
          <w:tcPr>
            <w:tcW w:w="2835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B139F99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Heterogeneity noted qualitatively or scRNA-seq mentioned</w:t>
            </w:r>
          </w:p>
        </w:tc>
        <w:tc>
          <w:tcPr>
            <w:tcW w:w="2409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ADE9AE7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Not assessed</w:t>
            </w:r>
          </w:p>
        </w:tc>
        <w:tc>
          <w:tcPr>
            <w:tcW w:w="1984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8E98687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—</w:t>
            </w:r>
          </w:p>
        </w:tc>
      </w:tr>
      <w:tr w:rsidR="000E0ABD" w:rsidRPr="000E0ABD" w14:paraId="31037404" w14:textId="77777777" w:rsidTr="000E0ABD">
        <w:tc>
          <w:tcPr>
            <w:tcW w:w="14458" w:type="dxa"/>
            <w:gridSpan w:val="7"/>
            <w:tcBorders>
              <w:top w:val="single" w:sz="2" w:space="0" w:color="666666"/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38C8628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6"/>
                <w:szCs w:val="16"/>
              </w:rPr>
              <w:t>Domain 5: Functional Validation (7 items)</w:t>
            </w:r>
          </w:p>
        </w:tc>
      </w:tr>
      <w:tr w:rsidR="000E0ABD" w:rsidRPr="000E0ABD" w14:paraId="28653905" w14:textId="77777777" w:rsidTr="000E0ABD">
        <w:tc>
          <w:tcPr>
            <w:tcW w:w="728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C867BDE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D5_01</w:t>
            </w:r>
          </w:p>
        </w:tc>
        <w:tc>
          <w:tcPr>
            <w:tcW w:w="2102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E4AD93F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Core biliary function assay</w:t>
            </w:r>
          </w:p>
        </w:tc>
        <w:tc>
          <w:tcPr>
            <w:tcW w:w="856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87D51C8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3"/>
                <w:szCs w:val="13"/>
              </w:rPr>
              <w:t>Core</w:t>
            </w:r>
          </w:p>
        </w:tc>
        <w:tc>
          <w:tcPr>
            <w:tcW w:w="3544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AB71DEE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≥1 biliary-specific function assay (Rho123, CFTR, MDR1, bile acid transport, FIS)</w:t>
            </w:r>
          </w:p>
        </w:tc>
        <w:tc>
          <w:tcPr>
            <w:tcW w:w="2835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E03F6BE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Generic viability/proliferation only</w:t>
            </w:r>
          </w:p>
        </w:tc>
        <w:tc>
          <w:tcPr>
            <w:tcW w:w="2409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91DDB92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 functional assay</w:t>
            </w:r>
          </w:p>
        </w:tc>
        <w:tc>
          <w:tcPr>
            <w:tcW w:w="1984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97D5652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—</w:t>
            </w:r>
          </w:p>
        </w:tc>
      </w:tr>
      <w:tr w:rsidR="000E0ABD" w:rsidRPr="000E0ABD" w14:paraId="3B777C41" w14:textId="77777777" w:rsidTr="000E0ABD">
        <w:tc>
          <w:tcPr>
            <w:tcW w:w="72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E493541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D5_02</w:t>
            </w:r>
          </w:p>
        </w:tc>
        <w:tc>
          <w:tcPr>
            <w:tcW w:w="2102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98CE08B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Barrier/integrity assay</w:t>
            </w:r>
          </w:p>
        </w:tc>
        <w:tc>
          <w:tcPr>
            <w:tcW w:w="8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C8F1DD8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Optional</w:t>
            </w:r>
          </w:p>
        </w:tc>
        <w:tc>
          <w:tcPr>
            <w:tcW w:w="354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978D024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Barrier assay (TEER, permeability, FD4 leak) performed</w:t>
            </w:r>
          </w:p>
        </w:tc>
        <w:tc>
          <w:tcPr>
            <w:tcW w:w="2835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AD5EBC4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Barrier mentioned but not formally tested</w:t>
            </w:r>
          </w:p>
        </w:tc>
        <w:tc>
          <w:tcPr>
            <w:tcW w:w="2409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BC28D40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Not assessed despite barrier claims</w:t>
            </w:r>
          </w:p>
        </w:tc>
        <w:tc>
          <w:tcPr>
            <w:tcW w:w="198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1B1C24B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 barrier-related claims made</w:t>
            </w:r>
          </w:p>
        </w:tc>
      </w:tr>
      <w:tr w:rsidR="000E0ABD" w:rsidRPr="000E0ABD" w14:paraId="24D24A5F" w14:textId="77777777" w:rsidTr="000E0ABD">
        <w:tc>
          <w:tcPr>
            <w:tcW w:w="72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1E6AE9D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D5_03</w:t>
            </w:r>
          </w:p>
        </w:tc>
        <w:tc>
          <w:tcPr>
            <w:tcW w:w="2102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9C5B78B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Disease-relevant modelling stimulus</w:t>
            </w:r>
          </w:p>
        </w:tc>
        <w:tc>
          <w:tcPr>
            <w:tcW w:w="8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11F28BC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3"/>
                <w:szCs w:val="13"/>
              </w:rPr>
              <w:t>Core</w:t>
            </w:r>
          </w:p>
        </w:tc>
        <w:tc>
          <w:tcPr>
            <w:tcW w:w="354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36A9AF3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Disease stimulus clearly specified with concentration &amp; duration</w:t>
            </w:r>
          </w:p>
        </w:tc>
        <w:tc>
          <w:tcPr>
            <w:tcW w:w="2835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BC73046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Stimulus named without full details</w:t>
            </w:r>
          </w:p>
        </w:tc>
        <w:tc>
          <w:tcPr>
            <w:tcW w:w="2409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393B8A8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Not described</w:t>
            </w:r>
          </w:p>
        </w:tc>
        <w:tc>
          <w:tcPr>
            <w:tcW w:w="198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51FECF5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 disease modelling performed</w:t>
            </w:r>
          </w:p>
        </w:tc>
      </w:tr>
      <w:tr w:rsidR="000E0ABD" w:rsidRPr="000E0ABD" w14:paraId="4241B8F1" w14:textId="77777777" w:rsidTr="000E0ABD">
        <w:tc>
          <w:tcPr>
            <w:tcW w:w="72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27BF069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D5_04</w:t>
            </w:r>
          </w:p>
        </w:tc>
        <w:tc>
          <w:tcPr>
            <w:tcW w:w="2102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7C2B413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Stimulus-matched readout &amp; method</w:t>
            </w:r>
          </w:p>
        </w:tc>
        <w:tc>
          <w:tcPr>
            <w:tcW w:w="8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3832520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3"/>
                <w:szCs w:val="13"/>
              </w:rPr>
              <w:t>Core</w:t>
            </w:r>
          </w:p>
        </w:tc>
        <w:tc>
          <w:tcPr>
            <w:tcW w:w="354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9342FDE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Readout matched to stimulus with method details</w:t>
            </w:r>
          </w:p>
        </w:tc>
        <w:tc>
          <w:tcPr>
            <w:tcW w:w="2835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21D1910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Readout mentioned without method</w:t>
            </w:r>
          </w:p>
        </w:tc>
        <w:tc>
          <w:tcPr>
            <w:tcW w:w="2409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157443E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 readout described</w:t>
            </w:r>
          </w:p>
        </w:tc>
        <w:tc>
          <w:tcPr>
            <w:tcW w:w="198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BE1D8AA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 stimulus used</w:t>
            </w:r>
          </w:p>
        </w:tc>
      </w:tr>
      <w:tr w:rsidR="000E0ABD" w:rsidRPr="000E0ABD" w14:paraId="3A0A63FD" w14:textId="77777777" w:rsidTr="000E0ABD">
        <w:tc>
          <w:tcPr>
            <w:tcW w:w="72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E60BE74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D5_05</w:t>
            </w:r>
          </w:p>
        </w:tc>
        <w:tc>
          <w:tcPr>
            <w:tcW w:w="2102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0775E3B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Drug response assay</w:t>
            </w:r>
          </w:p>
        </w:tc>
        <w:tc>
          <w:tcPr>
            <w:tcW w:w="8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E66BB19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3"/>
                <w:szCs w:val="13"/>
              </w:rPr>
              <w:t>Core</w:t>
            </w:r>
          </w:p>
        </w:tc>
        <w:tc>
          <w:tcPr>
            <w:tcW w:w="354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6249ABA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Drug(s), concentration(s), duration, readout all stated</w:t>
            </w:r>
          </w:p>
        </w:tc>
        <w:tc>
          <w:tcPr>
            <w:tcW w:w="2835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550B9F2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Partial information</w:t>
            </w:r>
          </w:p>
        </w:tc>
        <w:tc>
          <w:tcPr>
            <w:tcW w:w="2409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4FA53BB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Drug testing claimed but not described</w:t>
            </w:r>
          </w:p>
        </w:tc>
        <w:tc>
          <w:tcPr>
            <w:tcW w:w="198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26AE61A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 drug screening performed</w:t>
            </w:r>
          </w:p>
        </w:tc>
      </w:tr>
      <w:tr w:rsidR="000E0ABD" w:rsidRPr="000E0ABD" w14:paraId="2B0FF414" w14:textId="77777777" w:rsidTr="000E0ABD">
        <w:tc>
          <w:tcPr>
            <w:tcW w:w="72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BAAB402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D5_06</w:t>
            </w:r>
          </w:p>
        </w:tc>
        <w:tc>
          <w:tcPr>
            <w:tcW w:w="2102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EC87510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Endpoint definition / threshold</w:t>
            </w:r>
          </w:p>
        </w:tc>
        <w:tc>
          <w:tcPr>
            <w:tcW w:w="8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B3FB378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3"/>
                <w:szCs w:val="13"/>
              </w:rPr>
              <w:t>Core</w:t>
            </w:r>
          </w:p>
        </w:tc>
        <w:tc>
          <w:tcPr>
            <w:tcW w:w="354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5D4AF1A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Clear threshold/cutoff for endpoint (e.g., &gt;50% reduction = response)</w:t>
            </w:r>
          </w:p>
        </w:tc>
        <w:tc>
          <w:tcPr>
            <w:tcW w:w="2835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B4E4E3C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Endpoint described qualitatively</w:t>
            </w:r>
          </w:p>
        </w:tc>
        <w:tc>
          <w:tcPr>
            <w:tcW w:w="2409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61C532D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 endpoint definition</w:t>
            </w:r>
          </w:p>
        </w:tc>
        <w:tc>
          <w:tcPr>
            <w:tcW w:w="198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7AFB717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—</w:t>
            </w:r>
          </w:p>
        </w:tc>
      </w:tr>
      <w:tr w:rsidR="000E0ABD" w:rsidRPr="000E0ABD" w14:paraId="22C8EBC5" w14:textId="77777777" w:rsidTr="000E0ABD">
        <w:tc>
          <w:tcPr>
            <w:tcW w:w="728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E136D5F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D5_07</w:t>
            </w:r>
          </w:p>
        </w:tc>
        <w:tc>
          <w:tcPr>
            <w:tcW w:w="2102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A57A1A3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Explicit clinical translation mapping</w:t>
            </w:r>
          </w:p>
        </w:tc>
        <w:tc>
          <w:tcPr>
            <w:tcW w:w="856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EE0D909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Optional</w:t>
            </w:r>
          </w:p>
        </w:tc>
        <w:tc>
          <w:tcPr>
            <w:tcW w:w="3544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2F2FA8C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Explicit mapping to clinical phenotype (e.g., “organoid swelling correlates with clearance”)</w:t>
            </w:r>
          </w:p>
        </w:tc>
        <w:tc>
          <w:tcPr>
            <w:tcW w:w="2835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E82A340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General discussion of clinical relevance without specific mapping</w:t>
            </w:r>
          </w:p>
        </w:tc>
        <w:tc>
          <w:tcPr>
            <w:tcW w:w="2409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4BDB8A7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 clinical translation discussed</w:t>
            </w:r>
          </w:p>
        </w:tc>
        <w:tc>
          <w:tcPr>
            <w:tcW w:w="1984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D618F71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—</w:t>
            </w:r>
          </w:p>
        </w:tc>
      </w:tr>
      <w:tr w:rsidR="000E0ABD" w:rsidRPr="000E0ABD" w14:paraId="3D05B706" w14:textId="77777777" w:rsidTr="000E0ABD">
        <w:tc>
          <w:tcPr>
            <w:tcW w:w="14458" w:type="dxa"/>
            <w:gridSpan w:val="7"/>
            <w:tcBorders>
              <w:top w:val="single" w:sz="2" w:space="0" w:color="666666"/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109B8DD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6"/>
                <w:szCs w:val="16"/>
              </w:rPr>
              <w:t>Domain 6: Design &amp; Traceability (5 items)</w:t>
            </w:r>
          </w:p>
        </w:tc>
      </w:tr>
      <w:tr w:rsidR="000E0ABD" w:rsidRPr="000E0ABD" w14:paraId="0FDCF25B" w14:textId="77777777" w:rsidTr="000E0ABD">
        <w:tc>
          <w:tcPr>
            <w:tcW w:w="728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F4B38A0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D6_01</w:t>
            </w:r>
          </w:p>
        </w:tc>
        <w:tc>
          <w:tcPr>
            <w:tcW w:w="2102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3C804A1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Biological replicates (donor n) clearly stated</w:t>
            </w:r>
          </w:p>
        </w:tc>
        <w:tc>
          <w:tcPr>
            <w:tcW w:w="856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B66584C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3"/>
                <w:szCs w:val="13"/>
              </w:rPr>
              <w:t>Core</w:t>
            </w:r>
          </w:p>
        </w:tc>
        <w:tc>
          <w:tcPr>
            <w:tcW w:w="3544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0564436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Donor n for each group clearly stated</w:t>
            </w:r>
          </w:p>
        </w:tc>
        <w:tc>
          <w:tcPr>
            <w:tcW w:w="2835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88394F8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Total n given but not per-group</w:t>
            </w:r>
          </w:p>
        </w:tc>
        <w:tc>
          <w:tcPr>
            <w:tcW w:w="2409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AF6E7A0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Not stated</w:t>
            </w:r>
          </w:p>
        </w:tc>
        <w:tc>
          <w:tcPr>
            <w:tcW w:w="1984" w:type="dxa"/>
            <w:tcBorders>
              <w:top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D20D6CB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—</w:t>
            </w:r>
          </w:p>
        </w:tc>
      </w:tr>
      <w:tr w:rsidR="000E0ABD" w:rsidRPr="000E0ABD" w14:paraId="68C02042" w14:textId="77777777" w:rsidTr="000E0ABD">
        <w:tc>
          <w:tcPr>
            <w:tcW w:w="72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A4A40E9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D6_02</w:t>
            </w:r>
          </w:p>
        </w:tc>
        <w:tc>
          <w:tcPr>
            <w:tcW w:w="2102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DA8F8CB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Technical replicates / repeat experiments</w:t>
            </w:r>
          </w:p>
        </w:tc>
        <w:tc>
          <w:tcPr>
            <w:tcW w:w="8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65D6EE4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3"/>
                <w:szCs w:val="13"/>
              </w:rPr>
              <w:t>Core</w:t>
            </w:r>
          </w:p>
        </w:tc>
        <w:tc>
          <w:tcPr>
            <w:tcW w:w="354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974174A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Technical replicates per experiment clearly stated and distinguished from biological replicates</w:t>
            </w:r>
          </w:p>
        </w:tc>
        <w:tc>
          <w:tcPr>
            <w:tcW w:w="2835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5AE5264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“n = 3” stated but unclear if biological or technical</w:t>
            </w:r>
          </w:p>
        </w:tc>
        <w:tc>
          <w:tcPr>
            <w:tcW w:w="2409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B9B9E5F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Not mentioned</w:t>
            </w:r>
          </w:p>
        </w:tc>
        <w:tc>
          <w:tcPr>
            <w:tcW w:w="198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C176666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—</w:t>
            </w:r>
          </w:p>
        </w:tc>
      </w:tr>
      <w:tr w:rsidR="000E0ABD" w:rsidRPr="000E0ABD" w14:paraId="12387554" w14:textId="77777777" w:rsidTr="000E0ABD">
        <w:tc>
          <w:tcPr>
            <w:tcW w:w="72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DA26F93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D6_03</w:t>
            </w:r>
          </w:p>
        </w:tc>
        <w:tc>
          <w:tcPr>
            <w:tcW w:w="2102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B9F2DF2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Statistical unit &amp; method</w:t>
            </w:r>
          </w:p>
        </w:tc>
        <w:tc>
          <w:tcPr>
            <w:tcW w:w="8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4B28B0F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3"/>
                <w:szCs w:val="13"/>
              </w:rPr>
              <w:t>Core</w:t>
            </w:r>
          </w:p>
        </w:tc>
        <w:tc>
          <w:tcPr>
            <w:tcW w:w="354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08D98BD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Statistical unit (donor/organoid/well) and test(s) specified</w:t>
            </w:r>
          </w:p>
        </w:tc>
        <w:tc>
          <w:tcPr>
            <w:tcW w:w="2835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3295FC8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Test named but unit unclear</w:t>
            </w:r>
          </w:p>
        </w:tc>
        <w:tc>
          <w:tcPr>
            <w:tcW w:w="2409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54C3C52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 statistical methods described</w:t>
            </w:r>
          </w:p>
        </w:tc>
        <w:tc>
          <w:tcPr>
            <w:tcW w:w="198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8B2E643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Descriptive study; no inferential statistics</w:t>
            </w:r>
          </w:p>
        </w:tc>
      </w:tr>
      <w:tr w:rsidR="000E0ABD" w:rsidRPr="000E0ABD" w14:paraId="471D16DD" w14:textId="77777777" w:rsidTr="000E0ABD">
        <w:tc>
          <w:tcPr>
            <w:tcW w:w="72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AF9DAF4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D6_04</w:t>
            </w:r>
          </w:p>
        </w:tc>
        <w:tc>
          <w:tcPr>
            <w:tcW w:w="2102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E518865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Key reagent traceability</w:t>
            </w:r>
          </w:p>
        </w:tc>
        <w:tc>
          <w:tcPr>
            <w:tcW w:w="8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8EA8F04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b/>
                <w:bCs/>
                <w:color w:val="000000" w:themeColor="text1"/>
                <w:sz w:val="13"/>
                <w:szCs w:val="13"/>
              </w:rPr>
              <w:t>Core</w:t>
            </w:r>
          </w:p>
        </w:tc>
        <w:tc>
          <w:tcPr>
            <w:tcW w:w="354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97D5DBF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≥3 key reagents with catalogue/lot numbers</w:t>
            </w:r>
          </w:p>
        </w:tc>
        <w:tc>
          <w:tcPr>
            <w:tcW w:w="2835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9826BA9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Some catalogue numbers but incomplete</w:t>
            </w:r>
          </w:p>
        </w:tc>
        <w:tc>
          <w:tcPr>
            <w:tcW w:w="2409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B691539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 catalogue numbers</w:t>
            </w:r>
          </w:p>
        </w:tc>
        <w:tc>
          <w:tcPr>
            <w:tcW w:w="1984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9601BF4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—</w:t>
            </w:r>
          </w:p>
        </w:tc>
      </w:tr>
      <w:tr w:rsidR="000E0ABD" w:rsidRPr="000E0ABD" w14:paraId="3907FC2F" w14:textId="77777777" w:rsidTr="000E0ABD">
        <w:tc>
          <w:tcPr>
            <w:tcW w:w="728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202F11B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D6_05</w:t>
            </w:r>
          </w:p>
        </w:tc>
        <w:tc>
          <w:tcPr>
            <w:tcW w:w="2102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5E863F7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Data/material/protocol availability</w:t>
            </w:r>
          </w:p>
        </w:tc>
        <w:tc>
          <w:tcPr>
            <w:tcW w:w="856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F4FB553" w14:textId="77777777" w:rsidR="00260BDE" w:rsidRPr="000E0ABD" w:rsidRDefault="00000000">
            <w:pPr>
              <w:jc w:val="center"/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Optional</w:t>
            </w:r>
          </w:p>
        </w:tc>
        <w:tc>
          <w:tcPr>
            <w:tcW w:w="3544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FEC0CA3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Data deposited (GEO/SRA) OR materials available on request OR protocol shared</w:t>
            </w:r>
          </w:p>
        </w:tc>
        <w:tc>
          <w:tcPr>
            <w:tcW w:w="2835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DADC119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“Available on request” without specifics</w:t>
            </w:r>
          </w:p>
        </w:tc>
        <w:tc>
          <w:tcPr>
            <w:tcW w:w="2409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DD5CDE7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No availability statement</w:t>
            </w:r>
          </w:p>
        </w:tc>
        <w:tc>
          <w:tcPr>
            <w:tcW w:w="1984" w:type="dxa"/>
            <w:tcBorders>
              <w:bottom w:val="single" w:sz="2" w:space="0" w:color="666666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E48C706" w14:textId="77777777" w:rsidR="00260BDE" w:rsidRPr="000E0ABD" w:rsidRDefault="00000000">
            <w:pPr>
              <w:rPr>
                <w:color w:val="000000" w:themeColor="text1"/>
              </w:rPr>
            </w:pPr>
            <w:r w:rsidRPr="000E0ABD">
              <w:rPr>
                <w:rFonts w:eastAsia="Arial"/>
                <w:color w:val="000000" w:themeColor="text1"/>
                <w:sz w:val="13"/>
                <w:szCs w:val="13"/>
              </w:rPr>
              <w:t>—</w:t>
            </w:r>
          </w:p>
        </w:tc>
      </w:tr>
    </w:tbl>
    <w:p w14:paraId="02626A19" w14:textId="77777777" w:rsidR="00260BDE" w:rsidRDefault="00000000">
      <w:pPr>
        <w:spacing w:before="150"/>
      </w:pPr>
      <w:r>
        <w:t>Abbreviations: BA, biliary atresia; BA-MRS, Biliary Atresia Minimum Reporting Standard; BASM, biliary atresia splenic malformation; CFTR, cystic fibrosis transmembrane conductance regulator; CK19, cytokeratin 19; CMV, cytomegalovirus; EpCAM, epithelial cell adhesion molecule; FACS, fluorescence-activated cell sorting; FD4, fluorescein isothiocyanate–dextran 4 kDa; FIS, forskolin-induced swelling; GEO, Gene Expression Omnibus; GGT, gamma-glutamyl transferase; IF, immunofluorescence; MDR1, multidrug resistance protein 1; NA, not applicable; NLS, native liver survival; QC, quality control; qPCR, quantitative polymerase chain reaction; Rho123, rhodamine 123; SRA, Sequence Read Archive; TB/DB, total/direct bilirubin; TEER, transepithelial electrical resistance; TJ, tight junction; WB, western blot.</w:t>
      </w:r>
    </w:p>
    <w:p w14:paraId="148CFE74" w14:textId="77777777" w:rsidR="00260BDE" w:rsidRDefault="00260BDE"/>
    <w:sectPr w:rsidR="00260BDE">
      <w:pgSz w:w="16838" w:h="11906" w:orient="landscape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|¨¬¡§¡§??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E3A18"/>
    <w:multiLevelType w:val="hybridMultilevel"/>
    <w:tmpl w:val="E5243586"/>
    <w:lvl w:ilvl="0" w:tplc="DC8A37D2">
      <w:start w:val="1"/>
      <w:numFmt w:val="bullet"/>
      <w:lvlText w:val="●"/>
      <w:lvlJc w:val="left"/>
      <w:pPr>
        <w:ind w:left="720" w:hanging="360"/>
      </w:pPr>
    </w:lvl>
    <w:lvl w:ilvl="1" w:tplc="DCB6BD7A">
      <w:start w:val="1"/>
      <w:numFmt w:val="bullet"/>
      <w:lvlText w:val="○"/>
      <w:lvlJc w:val="left"/>
      <w:pPr>
        <w:ind w:left="1440" w:hanging="360"/>
      </w:pPr>
    </w:lvl>
    <w:lvl w:ilvl="2" w:tplc="916A0442">
      <w:start w:val="1"/>
      <w:numFmt w:val="bullet"/>
      <w:lvlText w:val="■"/>
      <w:lvlJc w:val="left"/>
      <w:pPr>
        <w:ind w:left="2160" w:hanging="360"/>
      </w:pPr>
    </w:lvl>
    <w:lvl w:ilvl="3" w:tplc="97AC1250">
      <w:start w:val="1"/>
      <w:numFmt w:val="bullet"/>
      <w:lvlText w:val="●"/>
      <w:lvlJc w:val="left"/>
      <w:pPr>
        <w:ind w:left="2880" w:hanging="360"/>
      </w:pPr>
    </w:lvl>
    <w:lvl w:ilvl="4" w:tplc="0B60BF36">
      <w:start w:val="1"/>
      <w:numFmt w:val="bullet"/>
      <w:lvlText w:val="○"/>
      <w:lvlJc w:val="left"/>
      <w:pPr>
        <w:ind w:left="3600" w:hanging="360"/>
      </w:pPr>
    </w:lvl>
    <w:lvl w:ilvl="5" w:tplc="1D5A8640">
      <w:start w:val="1"/>
      <w:numFmt w:val="bullet"/>
      <w:lvlText w:val="■"/>
      <w:lvlJc w:val="left"/>
      <w:pPr>
        <w:ind w:left="4320" w:hanging="360"/>
      </w:pPr>
    </w:lvl>
    <w:lvl w:ilvl="6" w:tplc="E2C4FFEE">
      <w:start w:val="1"/>
      <w:numFmt w:val="bullet"/>
      <w:lvlText w:val="●"/>
      <w:lvlJc w:val="left"/>
      <w:pPr>
        <w:ind w:left="5040" w:hanging="360"/>
      </w:pPr>
    </w:lvl>
    <w:lvl w:ilvl="7" w:tplc="172C3DDE">
      <w:start w:val="1"/>
      <w:numFmt w:val="bullet"/>
      <w:lvlText w:val="●"/>
      <w:lvlJc w:val="left"/>
      <w:pPr>
        <w:ind w:left="5760" w:hanging="360"/>
      </w:pPr>
    </w:lvl>
    <w:lvl w:ilvl="8" w:tplc="EBDE2D98">
      <w:start w:val="1"/>
      <w:numFmt w:val="bullet"/>
      <w:lvlText w:val="●"/>
      <w:lvlJc w:val="left"/>
      <w:pPr>
        <w:ind w:left="6480" w:hanging="360"/>
      </w:pPr>
    </w:lvl>
  </w:abstractNum>
  <w:num w:numId="1" w16cid:durableId="19197473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bordersDoNotSurroundHeader/>
  <w:bordersDoNotSurroundFooter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BDE"/>
    <w:rsid w:val="000E0ABD"/>
    <w:rsid w:val="00215AE7"/>
    <w:rsid w:val="00260BDE"/>
    <w:rsid w:val="00285ABC"/>
    <w:rsid w:val="002E328D"/>
    <w:rsid w:val="00757715"/>
    <w:rsid w:val="00AE4948"/>
    <w:rsid w:val="00D97E81"/>
    <w:rsid w:val="00EE5E9A"/>
    <w:rsid w:val="00F1774D"/>
    <w:rsid w:val="00FF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D973A"/>
  <w15:docId w15:val="{DBA0535F-68EB-B44D-A5DA-419042B65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1">
    <w:name w:val="要点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1217</Words>
  <Characters>6939</Characters>
  <Application>Microsoft Office Word</Application>
  <DocSecurity>0</DocSecurity>
  <Lines>57</Lines>
  <Paragraphs>16</Paragraphs>
  <ScaleCrop>false</ScaleCrop>
  <Company/>
  <LinksUpToDate>false</LinksUpToDate>
  <CharactersWithSpaces>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Robin Wei</cp:lastModifiedBy>
  <cp:revision>6</cp:revision>
  <dcterms:created xsi:type="dcterms:W3CDTF">2026-03-20T13:03:00Z</dcterms:created>
  <dcterms:modified xsi:type="dcterms:W3CDTF">2026-08-08T03:30:00Z</dcterms:modified>
</cp:coreProperties>
</file>