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D0" w:rsidRDefault="003F7ED0" w:rsidP="003F7ED0">
      <w:pPr>
        <w:pStyle w:val="Para"/>
        <w:rPr>
          <w:rFonts w:eastAsia="等线"/>
          <w:kern w:val="2"/>
          <w:vertAlign w:val="superscript"/>
          <w:lang w:eastAsia="zh-CN"/>
        </w:rPr>
      </w:pPr>
      <w:r w:rsidRPr="00186C18">
        <w:rPr>
          <w:rFonts w:eastAsia="等线"/>
          <w:kern w:val="2"/>
          <w:lang w:eastAsia="zh-CN"/>
        </w:rPr>
        <w:t xml:space="preserve">Supplementary Table 2. Histological </w:t>
      </w:r>
      <w:bookmarkStart w:id="0" w:name="_Hlk80017565"/>
      <w:r w:rsidRPr="00186C18">
        <w:rPr>
          <w:rFonts w:eastAsia="等线"/>
          <w:kern w:val="2"/>
          <w:lang w:eastAsia="zh-CN"/>
        </w:rPr>
        <w:t>scoring system for assessing injury of the distal common bile duct</w:t>
      </w:r>
      <w:bookmarkEnd w:id="0"/>
      <w:r>
        <w:rPr>
          <w:rFonts w:eastAsia="等线"/>
          <w:kern w:val="2"/>
          <w:lang w:eastAsia="zh-CN"/>
        </w:rPr>
        <w:t>.</w:t>
      </w:r>
      <w:r w:rsidR="008D0266" w:rsidRPr="008D0266">
        <w:rPr>
          <w:rFonts w:eastAsia="等线"/>
          <w:kern w:val="2"/>
          <w:vertAlign w:val="superscript"/>
          <w:lang w:eastAsia="zh-CN"/>
        </w:rPr>
        <w:t>1</w:t>
      </w:r>
    </w:p>
    <w:p w:rsidR="008B0121" w:rsidRPr="00186C18" w:rsidRDefault="008B0121" w:rsidP="003F7ED0">
      <w:pPr>
        <w:pStyle w:val="Para"/>
        <w:rPr>
          <w:rFonts w:eastAsia="等线"/>
          <w:kern w:val="2"/>
          <w:lang w:eastAsia="zh-CN"/>
        </w:rPr>
      </w:pPr>
    </w:p>
    <w:tbl>
      <w:tblPr>
        <w:tblW w:w="0" w:type="auto"/>
        <w:jc w:val="center"/>
        <w:tblLayout w:type="fixed"/>
        <w:tblLook w:val="04A0"/>
      </w:tblPr>
      <w:tblGrid>
        <w:gridCol w:w="2376"/>
        <w:gridCol w:w="1276"/>
        <w:gridCol w:w="1696"/>
        <w:gridCol w:w="1558"/>
        <w:gridCol w:w="1883"/>
      </w:tblGrid>
      <w:tr w:rsidR="003F7ED0" w:rsidRPr="00186C18" w:rsidTr="002501D9">
        <w:trPr>
          <w:jc w:val="center"/>
        </w:trPr>
        <w:tc>
          <w:tcPr>
            <w:tcW w:w="2376" w:type="dxa"/>
            <w:tcBorders>
              <w:top w:val="single" w:sz="8" w:space="0" w:color="auto"/>
              <w:bottom w:val="single" w:sz="4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Grade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  <w:bottom w:val="single" w:sz="4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4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883" w:type="dxa"/>
            <w:tcBorders>
              <w:top w:val="single" w:sz="8" w:space="0" w:color="auto"/>
              <w:bottom w:val="single" w:sz="4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3</w:t>
            </w:r>
          </w:p>
        </w:tc>
      </w:tr>
      <w:tr w:rsidR="003F7ED0" w:rsidRPr="00186C18" w:rsidTr="002501D9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Biliary epithelium loss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None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≤50%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&gt;50%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Not applicable</w:t>
            </w:r>
          </w:p>
        </w:tc>
      </w:tr>
      <w:tr w:rsidR="003F7ED0" w:rsidRPr="00186C18" w:rsidTr="002501D9">
        <w:trPr>
          <w:jc w:val="center"/>
        </w:trPr>
        <w:tc>
          <w:tcPr>
            <w:tcW w:w="237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Mural stroma necrosis</w:t>
            </w:r>
          </w:p>
        </w:tc>
        <w:tc>
          <w:tcPr>
            <w:tcW w:w="127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None</w:t>
            </w:r>
          </w:p>
        </w:tc>
        <w:tc>
          <w:tcPr>
            <w:tcW w:w="169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≤25%</w:t>
            </w:r>
          </w:p>
        </w:tc>
        <w:tc>
          <w:tcPr>
            <w:tcW w:w="1558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25-50%</w:t>
            </w:r>
          </w:p>
        </w:tc>
        <w:tc>
          <w:tcPr>
            <w:tcW w:w="1883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&gt;50%</w:t>
            </w:r>
          </w:p>
        </w:tc>
      </w:tr>
      <w:tr w:rsidR="003F7ED0" w:rsidRPr="00186C18" w:rsidTr="002501D9">
        <w:trPr>
          <w:jc w:val="center"/>
        </w:trPr>
        <w:tc>
          <w:tcPr>
            <w:tcW w:w="237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Peribiliary vascular plexus injury</w:t>
            </w:r>
          </w:p>
        </w:tc>
        <w:tc>
          <w:tcPr>
            <w:tcW w:w="127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None</w:t>
            </w:r>
          </w:p>
        </w:tc>
        <w:tc>
          <w:tcPr>
            <w:tcW w:w="169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≤50%</w:t>
            </w:r>
          </w:p>
        </w:tc>
        <w:tc>
          <w:tcPr>
            <w:tcW w:w="1558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&gt;50%</w:t>
            </w:r>
          </w:p>
        </w:tc>
        <w:tc>
          <w:tcPr>
            <w:tcW w:w="1883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Grade 2+ arteriolonecrosis</w:t>
            </w:r>
          </w:p>
        </w:tc>
      </w:tr>
      <w:tr w:rsidR="003F7ED0" w:rsidRPr="00186C18" w:rsidTr="002501D9">
        <w:trPr>
          <w:jc w:val="center"/>
        </w:trPr>
        <w:tc>
          <w:tcPr>
            <w:tcW w:w="237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Thrombosis</w:t>
            </w:r>
          </w:p>
        </w:tc>
        <w:tc>
          <w:tcPr>
            <w:tcW w:w="127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None</w:t>
            </w:r>
          </w:p>
        </w:tc>
        <w:tc>
          <w:tcPr>
            <w:tcW w:w="169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Present</w:t>
            </w:r>
          </w:p>
        </w:tc>
        <w:tc>
          <w:tcPr>
            <w:tcW w:w="1558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Not applicable</w:t>
            </w:r>
          </w:p>
        </w:tc>
        <w:tc>
          <w:tcPr>
            <w:tcW w:w="1883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Not applicable</w:t>
            </w:r>
          </w:p>
        </w:tc>
      </w:tr>
      <w:tr w:rsidR="003F7ED0" w:rsidRPr="00186C18" w:rsidTr="002501D9">
        <w:trPr>
          <w:jc w:val="center"/>
        </w:trPr>
        <w:tc>
          <w:tcPr>
            <w:tcW w:w="237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Intramural bleeding</w:t>
            </w:r>
          </w:p>
        </w:tc>
        <w:tc>
          <w:tcPr>
            <w:tcW w:w="127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None</w:t>
            </w:r>
          </w:p>
        </w:tc>
        <w:tc>
          <w:tcPr>
            <w:tcW w:w="169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≤50%</w:t>
            </w:r>
          </w:p>
        </w:tc>
        <w:tc>
          <w:tcPr>
            <w:tcW w:w="1558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&gt;50%</w:t>
            </w:r>
          </w:p>
        </w:tc>
        <w:tc>
          <w:tcPr>
            <w:tcW w:w="1883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Not applicable</w:t>
            </w:r>
          </w:p>
        </w:tc>
      </w:tr>
      <w:tr w:rsidR="003F7ED0" w:rsidRPr="00186C18" w:rsidTr="002501D9">
        <w:trPr>
          <w:jc w:val="center"/>
        </w:trPr>
        <w:tc>
          <w:tcPr>
            <w:tcW w:w="237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Peribiliary glands injury</w:t>
            </w:r>
          </w:p>
        </w:tc>
        <w:tc>
          <w:tcPr>
            <w:tcW w:w="127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None</w:t>
            </w:r>
          </w:p>
        </w:tc>
        <w:tc>
          <w:tcPr>
            <w:tcW w:w="1696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≤50%</w:t>
            </w:r>
          </w:p>
        </w:tc>
        <w:tc>
          <w:tcPr>
            <w:tcW w:w="1558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&gt;50%</w:t>
            </w:r>
          </w:p>
        </w:tc>
        <w:tc>
          <w:tcPr>
            <w:tcW w:w="1883" w:type="dxa"/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Not applicable</w:t>
            </w:r>
          </w:p>
        </w:tc>
      </w:tr>
      <w:tr w:rsidR="003F7ED0" w:rsidRPr="00186C18" w:rsidTr="002501D9">
        <w:trPr>
          <w:jc w:val="center"/>
        </w:trPr>
        <w:tc>
          <w:tcPr>
            <w:tcW w:w="2376" w:type="dxa"/>
            <w:tcBorders>
              <w:bottom w:val="single" w:sz="8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Inflammation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None</w:t>
            </w: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≥10 leukocytes/HPF</w:t>
            </w: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≥50 leukocytes/HPF</w:t>
            </w:r>
          </w:p>
        </w:tc>
        <w:tc>
          <w:tcPr>
            <w:tcW w:w="1883" w:type="dxa"/>
            <w:tcBorders>
              <w:bottom w:val="single" w:sz="8" w:space="0" w:color="auto"/>
            </w:tcBorders>
          </w:tcPr>
          <w:p w:rsidR="003F7ED0" w:rsidRPr="00186C18" w:rsidRDefault="003F7ED0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Not applicable</w:t>
            </w:r>
          </w:p>
        </w:tc>
      </w:tr>
    </w:tbl>
    <w:p w:rsidR="003F7ED0" w:rsidRPr="00186C18" w:rsidRDefault="003F7ED0" w:rsidP="003F7ED0">
      <w:pPr>
        <w:pStyle w:val="Para"/>
        <w:rPr>
          <w:rFonts w:eastAsia="等线"/>
          <w:kern w:val="2"/>
          <w:lang w:eastAsia="zh-CN"/>
        </w:rPr>
      </w:pPr>
      <w:r w:rsidRPr="00186C18">
        <w:rPr>
          <w:rFonts w:eastAsia="等线"/>
          <w:kern w:val="2"/>
          <w:lang w:eastAsia="zh-CN"/>
        </w:rPr>
        <w:t>HPF, high power field.</w:t>
      </w:r>
    </w:p>
    <w:p w:rsidR="003F7ED0" w:rsidRPr="00186C18" w:rsidRDefault="003F7ED0" w:rsidP="003F7ED0">
      <w:pPr>
        <w:pStyle w:val="Para"/>
        <w:rPr>
          <w:rFonts w:eastAsia="等线"/>
          <w:kern w:val="2"/>
          <w:lang w:eastAsia="zh-CN"/>
        </w:rPr>
      </w:pPr>
    </w:p>
    <w:p w:rsidR="00480AA9" w:rsidRDefault="00667131">
      <w:pPr>
        <w:rPr>
          <w:b/>
        </w:rPr>
      </w:pPr>
      <w:r w:rsidRPr="00667131">
        <w:rPr>
          <w:b/>
        </w:rPr>
        <w:t>Reference</w:t>
      </w:r>
    </w:p>
    <w:p w:rsidR="00667131" w:rsidRDefault="00667131">
      <w:pPr>
        <w:rPr>
          <w:b/>
        </w:rPr>
      </w:pPr>
    </w:p>
    <w:p w:rsidR="00667131" w:rsidRPr="00667131" w:rsidRDefault="002A16A3">
      <w:pPr>
        <w:rPr>
          <w:b/>
        </w:rPr>
      </w:pPr>
      <w:r>
        <w:rPr>
          <w:b/>
        </w:rPr>
        <w:t xml:space="preserve">1. </w:t>
      </w:r>
      <w:r w:rsidRPr="00186C18">
        <w:rPr>
          <w:kern w:val="2"/>
          <w:lang w:eastAsia="zh-CN"/>
        </w:rPr>
        <w:t xml:space="preserve">op den Dries S, Westerkamp AC, Karimian N, Gouw AS, Bruinsma BG, Markmann JF, et al. Injury to peribiliary glands and vascular plexus before liver transplantation predicts formation of non-anastomotic biliary strictures. J Hepatol 2014;60(6):1172-1179. doi: 10.1016/j.jhep.2014.02.010. </w:t>
      </w:r>
      <w:r>
        <w:rPr>
          <w:kern w:val="2"/>
          <w:lang w:eastAsia="zh-CN"/>
        </w:rPr>
        <w:t>PubMed PMID:</w:t>
      </w:r>
      <w:r w:rsidRPr="00186C18">
        <w:rPr>
          <w:kern w:val="2"/>
          <w:lang w:eastAsia="zh-CN"/>
        </w:rPr>
        <w:t xml:space="preserve"> 24560661</w:t>
      </w:r>
    </w:p>
    <w:sectPr w:rsidR="00667131" w:rsidRPr="00667131" w:rsidSect="004E4E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F7ED0"/>
    <w:rsid w:val="002A16A3"/>
    <w:rsid w:val="003F7ED0"/>
    <w:rsid w:val="00480AA9"/>
    <w:rsid w:val="004E4EA3"/>
    <w:rsid w:val="00667131"/>
    <w:rsid w:val="008B0121"/>
    <w:rsid w:val="008D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3F7ED0"/>
    <w:pPr>
      <w:spacing w:after="0" w:line="240" w:lineRule="auto"/>
      <w:ind w:firstLine="567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6</cp:revision>
  <dcterms:created xsi:type="dcterms:W3CDTF">2022-08-07T09:41:00Z</dcterms:created>
  <dcterms:modified xsi:type="dcterms:W3CDTF">2022-08-07T09:44:00Z</dcterms:modified>
</cp:coreProperties>
</file>