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05" w:rsidRPr="007D2070" w:rsidRDefault="00307205" w:rsidP="00307205">
      <w:pPr>
        <w:rPr>
          <w:rFonts w:ascii="Times New Roman" w:hAnsi="Times New Roman" w:cs="Times New Roman"/>
          <w:b/>
          <w:bCs/>
          <w:sz w:val="28"/>
          <w:szCs w:val="32"/>
        </w:rPr>
      </w:pPr>
      <w:r w:rsidRPr="00FE45B0">
        <w:rPr>
          <w:rFonts w:ascii="Times New Roman" w:hAnsi="Times New Roman" w:cs="Times New Roman"/>
          <w:b/>
          <w:bCs/>
          <w:sz w:val="28"/>
          <w:szCs w:val="32"/>
        </w:rPr>
        <w:t>Supplementary File 1</w:t>
      </w:r>
    </w:p>
    <w:p w:rsidR="00307205" w:rsidRPr="00BF0520" w:rsidRDefault="00307205" w:rsidP="00307205">
      <w:pPr>
        <w:spacing w:line="480" w:lineRule="auto"/>
        <w:rPr>
          <w:rFonts w:ascii="Times New Roman" w:hAnsi="Times New Roman" w:cs="Times New Roman"/>
          <w:b/>
          <w:bCs/>
          <w:sz w:val="24"/>
          <w:szCs w:val="24"/>
        </w:rPr>
      </w:pPr>
      <w:r w:rsidRPr="00BF0520">
        <w:rPr>
          <w:rFonts w:ascii="Times New Roman" w:hAnsi="Times New Roman" w:cs="Times New Roman"/>
          <w:b/>
          <w:bCs/>
          <w:sz w:val="24"/>
          <w:szCs w:val="24"/>
        </w:rPr>
        <w:t>Study population</w:t>
      </w:r>
    </w:p>
    <w:p w:rsidR="00307205" w:rsidRPr="00BF0520" w:rsidRDefault="00307205" w:rsidP="00307205">
      <w:pPr>
        <w:spacing w:line="480" w:lineRule="auto"/>
        <w:rPr>
          <w:rFonts w:ascii="Times New Roman" w:hAnsi="Times New Roman" w:cs="Times New Roman"/>
          <w:b/>
          <w:bCs/>
          <w:sz w:val="24"/>
          <w:szCs w:val="24"/>
        </w:rPr>
      </w:pPr>
      <w:r w:rsidRPr="002938E3">
        <w:rPr>
          <w:rFonts w:ascii="Times New Roman" w:hAnsi="Times New Roman" w:cs="Times New Roman"/>
          <w:sz w:val="24"/>
          <w:szCs w:val="24"/>
        </w:rPr>
        <w:t xml:space="preserve">From seven cycles of NHANES datasets, 70,190 participants were initially included. We excluded participants if they: (1) </w:t>
      </w:r>
      <w:r w:rsidRPr="00BF0520">
        <w:rPr>
          <w:rFonts w:ascii="Times New Roman" w:hAnsi="Times New Roman" w:cs="Times New Roman"/>
          <w:sz w:val="24"/>
          <w:szCs w:val="24"/>
        </w:rPr>
        <w:t>participants</w:t>
      </w:r>
      <w:r>
        <w:rPr>
          <w:rFonts w:ascii="Times New Roman" w:hAnsi="Times New Roman" w:cs="Times New Roman" w:hint="eastAsia"/>
          <w:sz w:val="24"/>
          <w:szCs w:val="24"/>
        </w:rPr>
        <w:t xml:space="preserve"> without</w:t>
      </w:r>
      <w:r w:rsidRPr="002938E3">
        <w:rPr>
          <w:rFonts w:ascii="Times New Roman" w:hAnsi="Times New Roman" w:cs="Times New Roman"/>
          <w:sz w:val="24"/>
          <w:szCs w:val="24"/>
        </w:rPr>
        <w:t xml:space="preserve"> complete information to calculate the US fatty liver index and cardiometabolic risk factors to diagnose MASLD (n = 49,944); (2) </w:t>
      </w:r>
      <w:r w:rsidRPr="00BF0520">
        <w:rPr>
          <w:rFonts w:ascii="Times New Roman" w:hAnsi="Times New Roman" w:cs="Times New Roman"/>
          <w:sz w:val="24"/>
          <w:szCs w:val="24"/>
        </w:rPr>
        <w:t>participants</w:t>
      </w:r>
      <w:r>
        <w:rPr>
          <w:rFonts w:ascii="Times New Roman" w:hAnsi="Times New Roman" w:cs="Times New Roman" w:hint="eastAsia"/>
          <w:sz w:val="24"/>
          <w:szCs w:val="24"/>
        </w:rPr>
        <w:t xml:space="preserve"> </w:t>
      </w:r>
      <w:r w:rsidRPr="00BF0520">
        <w:rPr>
          <w:rFonts w:ascii="Times New Roman" w:hAnsi="Times New Roman" w:cs="Times New Roman"/>
          <w:sz w:val="24"/>
          <w:szCs w:val="24"/>
        </w:rPr>
        <w:t>without</w:t>
      </w:r>
      <w:r w:rsidRPr="002938E3">
        <w:rPr>
          <w:rFonts w:ascii="Times New Roman" w:hAnsi="Times New Roman" w:cs="Times New Roman"/>
          <w:sz w:val="24"/>
          <w:szCs w:val="24"/>
        </w:rPr>
        <w:t xml:space="preserve"> </w:t>
      </w:r>
      <w:r>
        <w:rPr>
          <w:rFonts w:ascii="Times New Roman" w:hAnsi="Times New Roman" w:cs="Times New Roman" w:hint="eastAsia"/>
          <w:sz w:val="24"/>
          <w:szCs w:val="24"/>
        </w:rPr>
        <w:t xml:space="preserve">a </w:t>
      </w:r>
      <w:r w:rsidRPr="002938E3">
        <w:rPr>
          <w:rFonts w:ascii="Times New Roman" w:hAnsi="Times New Roman" w:cs="Times New Roman"/>
          <w:sz w:val="24"/>
          <w:szCs w:val="24"/>
        </w:rPr>
        <w:t xml:space="preserve">complete assessment of urinary phthalate metabolites (n = 13,636); (3) </w:t>
      </w:r>
      <w:r w:rsidRPr="00BF0520">
        <w:rPr>
          <w:rFonts w:ascii="Times New Roman" w:hAnsi="Times New Roman" w:cs="Times New Roman"/>
          <w:sz w:val="24"/>
          <w:szCs w:val="24"/>
        </w:rPr>
        <w:t>age &lt;</w:t>
      </w:r>
      <w:r w:rsidRPr="002938E3">
        <w:rPr>
          <w:rFonts w:ascii="Times New Roman" w:hAnsi="Times New Roman" w:cs="Times New Roman"/>
          <w:sz w:val="24"/>
          <w:szCs w:val="24"/>
        </w:rPr>
        <w:t xml:space="preserve">20 (n = 1,283) or </w:t>
      </w:r>
      <w:r w:rsidRPr="00BF0520">
        <w:rPr>
          <w:rFonts w:ascii="Times New Roman" w:hAnsi="Times New Roman" w:cs="Times New Roman"/>
          <w:sz w:val="24"/>
          <w:szCs w:val="24"/>
        </w:rPr>
        <w:t>with</w:t>
      </w:r>
      <w:r w:rsidRPr="002938E3">
        <w:rPr>
          <w:rFonts w:ascii="Times New Roman" w:hAnsi="Times New Roman" w:cs="Times New Roman"/>
          <w:sz w:val="24"/>
          <w:szCs w:val="24"/>
        </w:rPr>
        <w:t xml:space="preserve"> incomplete covariates: </w:t>
      </w:r>
      <w:r w:rsidRPr="000B0307">
        <w:rPr>
          <w:rFonts w:ascii="Times New Roman" w:hAnsi="Times New Roman" w:cs="Times New Roman"/>
          <w:sz w:val="24"/>
          <w:szCs w:val="24"/>
        </w:rPr>
        <w:t>body mass index</w:t>
      </w:r>
      <w:r>
        <w:rPr>
          <w:rFonts w:ascii="Times New Roman" w:hAnsi="Times New Roman" w:cs="Times New Roman" w:hint="eastAsia"/>
          <w:sz w:val="24"/>
          <w:szCs w:val="24"/>
        </w:rPr>
        <w:t xml:space="preserve"> (</w:t>
      </w:r>
      <w:r w:rsidRPr="002938E3">
        <w:rPr>
          <w:rFonts w:ascii="Times New Roman" w:hAnsi="Times New Roman" w:cs="Times New Roman"/>
          <w:sz w:val="24"/>
          <w:szCs w:val="24"/>
        </w:rPr>
        <w:t>BMI</w:t>
      </w:r>
      <w:r>
        <w:rPr>
          <w:rFonts w:ascii="Times New Roman" w:hAnsi="Times New Roman" w:cs="Times New Roman" w:hint="eastAsia"/>
          <w:sz w:val="24"/>
          <w:szCs w:val="24"/>
        </w:rPr>
        <w:t>)</w:t>
      </w:r>
      <w:r w:rsidRPr="002938E3">
        <w:rPr>
          <w:rFonts w:ascii="Times New Roman" w:hAnsi="Times New Roman" w:cs="Times New Roman"/>
          <w:sz w:val="24"/>
          <w:szCs w:val="24"/>
        </w:rPr>
        <w:t xml:space="preserve"> (n = 13</w:t>
      </w:r>
      <w:r w:rsidRPr="00BF0520">
        <w:rPr>
          <w:rFonts w:ascii="Times New Roman" w:hAnsi="Times New Roman" w:cs="Times New Roman"/>
          <w:sz w:val="24"/>
          <w:szCs w:val="24"/>
        </w:rPr>
        <w:t>)</w:t>
      </w:r>
      <w:r>
        <w:rPr>
          <w:rFonts w:ascii="Times New Roman" w:hAnsi="Times New Roman" w:cs="Times New Roman" w:hint="eastAsia"/>
          <w:sz w:val="24"/>
          <w:szCs w:val="24"/>
        </w:rPr>
        <w:t xml:space="preserve"> and</w:t>
      </w:r>
      <w:r w:rsidRPr="002938E3">
        <w:rPr>
          <w:rFonts w:ascii="Times New Roman" w:hAnsi="Times New Roman" w:cs="Times New Roman"/>
          <w:sz w:val="24"/>
          <w:szCs w:val="24"/>
        </w:rPr>
        <w:t xml:space="preserve"> education level (n = 4); (4) </w:t>
      </w:r>
      <w:r w:rsidRPr="00BF0520">
        <w:rPr>
          <w:rFonts w:ascii="Times New Roman" w:hAnsi="Times New Roman" w:cs="Times New Roman"/>
          <w:sz w:val="24"/>
          <w:szCs w:val="24"/>
        </w:rPr>
        <w:t>participants</w:t>
      </w:r>
      <w:r>
        <w:rPr>
          <w:rFonts w:ascii="Times New Roman" w:hAnsi="Times New Roman" w:cs="Times New Roman" w:hint="eastAsia"/>
          <w:sz w:val="24"/>
          <w:szCs w:val="24"/>
        </w:rPr>
        <w:t xml:space="preserve"> </w:t>
      </w:r>
      <w:r w:rsidRPr="00BF0520">
        <w:rPr>
          <w:rFonts w:ascii="Times New Roman" w:hAnsi="Times New Roman" w:cs="Times New Roman"/>
          <w:sz w:val="24"/>
          <w:szCs w:val="24"/>
        </w:rPr>
        <w:t>without</w:t>
      </w:r>
      <w:r w:rsidRPr="002938E3">
        <w:rPr>
          <w:rFonts w:ascii="Times New Roman" w:hAnsi="Times New Roman" w:cs="Times New Roman"/>
          <w:sz w:val="24"/>
          <w:szCs w:val="24"/>
        </w:rPr>
        <w:t xml:space="preserve"> two complete 24-</w:t>
      </w:r>
      <w:r w:rsidRPr="00F201C9">
        <w:rPr>
          <w:rFonts w:ascii="Times New Roman" w:hAnsi="Times New Roman" w:cs="Times New Roman"/>
          <w:sz w:val="24"/>
          <w:szCs w:val="24"/>
        </w:rPr>
        <w:t>h</w:t>
      </w:r>
      <w:r w:rsidRPr="002938E3">
        <w:rPr>
          <w:rFonts w:ascii="Times New Roman" w:hAnsi="Times New Roman" w:cs="Times New Roman"/>
          <w:sz w:val="24"/>
          <w:szCs w:val="24"/>
        </w:rPr>
        <w:t xml:space="preserve"> recall interviews and an assessment of 15 antioxidant agents (n = 852); (5) </w:t>
      </w:r>
      <w:r w:rsidRPr="00BF0520">
        <w:rPr>
          <w:rFonts w:ascii="Times New Roman" w:hAnsi="Times New Roman" w:cs="Times New Roman"/>
          <w:sz w:val="24"/>
          <w:szCs w:val="24"/>
        </w:rPr>
        <w:t>participants with</w:t>
      </w:r>
      <w:r w:rsidRPr="002938E3">
        <w:rPr>
          <w:rFonts w:ascii="Times New Roman" w:hAnsi="Times New Roman" w:cs="Times New Roman"/>
          <w:sz w:val="24"/>
          <w:szCs w:val="24"/>
        </w:rPr>
        <w:t xml:space="preserve"> hepatic steatosis but consumed alcohol over ≥140/210 g/week (female</w:t>
      </w:r>
      <w:r>
        <w:rPr>
          <w:rFonts w:ascii="Times New Roman" w:hAnsi="Times New Roman" w:cs="Times New Roman" w:hint="eastAsia"/>
          <w:sz w:val="24"/>
          <w:szCs w:val="24"/>
        </w:rPr>
        <w:t>s</w:t>
      </w:r>
      <w:r w:rsidRPr="002938E3">
        <w:rPr>
          <w:rFonts w:ascii="Times New Roman" w:hAnsi="Times New Roman" w:cs="Times New Roman"/>
          <w:sz w:val="24"/>
          <w:szCs w:val="24"/>
        </w:rPr>
        <w:t>/male</w:t>
      </w:r>
      <w:r>
        <w:rPr>
          <w:rFonts w:ascii="Times New Roman" w:hAnsi="Times New Roman" w:cs="Times New Roman" w:hint="eastAsia"/>
          <w:sz w:val="24"/>
          <w:szCs w:val="24"/>
        </w:rPr>
        <w:t>s)</w:t>
      </w:r>
      <w:r w:rsidRPr="00BF0520">
        <w:rPr>
          <w:rFonts w:ascii="Times New Roman" w:hAnsi="Times New Roman" w:cs="Times New Roman"/>
          <w:sz w:val="24"/>
          <w:szCs w:val="24"/>
        </w:rPr>
        <w:t>,</w:t>
      </w:r>
      <w:r w:rsidRPr="002938E3">
        <w:rPr>
          <w:rFonts w:ascii="Times New Roman" w:hAnsi="Times New Roman" w:cs="Times New Roman"/>
          <w:sz w:val="24"/>
          <w:szCs w:val="24"/>
        </w:rPr>
        <w:t xml:space="preserve"> hepatitis B</w:t>
      </w:r>
      <w:r w:rsidRPr="00BF0520">
        <w:rPr>
          <w:rFonts w:ascii="Times New Roman" w:hAnsi="Times New Roman" w:cs="Times New Roman"/>
          <w:sz w:val="24"/>
          <w:szCs w:val="24"/>
        </w:rPr>
        <w:t>,</w:t>
      </w:r>
      <w:r w:rsidRPr="002938E3">
        <w:rPr>
          <w:rFonts w:ascii="Times New Roman" w:hAnsi="Times New Roman" w:cs="Times New Roman"/>
          <w:sz w:val="24"/>
          <w:szCs w:val="24"/>
        </w:rPr>
        <w:t xml:space="preserve"> </w:t>
      </w:r>
      <w:r>
        <w:rPr>
          <w:rFonts w:ascii="Times New Roman" w:hAnsi="Times New Roman" w:cs="Times New Roman" w:hint="eastAsia"/>
          <w:sz w:val="24"/>
          <w:szCs w:val="24"/>
        </w:rPr>
        <w:t xml:space="preserve">or </w:t>
      </w:r>
      <w:r w:rsidRPr="002938E3">
        <w:rPr>
          <w:rFonts w:ascii="Times New Roman" w:hAnsi="Times New Roman" w:cs="Times New Roman"/>
          <w:sz w:val="24"/>
          <w:szCs w:val="24"/>
        </w:rPr>
        <w:t xml:space="preserve">hepatitis C (n = 330); (6) </w:t>
      </w:r>
      <w:r>
        <w:rPr>
          <w:rFonts w:ascii="Times New Roman" w:hAnsi="Times New Roman" w:cs="Times New Roman" w:hint="eastAsia"/>
          <w:sz w:val="24"/>
          <w:szCs w:val="24"/>
        </w:rPr>
        <w:t xml:space="preserve">participants </w:t>
      </w:r>
      <w:r w:rsidRPr="00BF0520">
        <w:rPr>
          <w:rFonts w:ascii="Times New Roman" w:hAnsi="Times New Roman" w:cs="Times New Roman"/>
          <w:sz w:val="24"/>
          <w:szCs w:val="24"/>
        </w:rPr>
        <w:t>without</w:t>
      </w:r>
      <w:r w:rsidRPr="002938E3">
        <w:rPr>
          <w:rFonts w:ascii="Times New Roman" w:hAnsi="Times New Roman" w:cs="Times New Roman"/>
          <w:sz w:val="24"/>
          <w:szCs w:val="24"/>
        </w:rPr>
        <w:t xml:space="preserve"> information on drinking status (n =</w:t>
      </w:r>
      <w:r w:rsidRPr="00562C9F">
        <w:t xml:space="preserve"> </w:t>
      </w:r>
      <w:r w:rsidRPr="002938E3">
        <w:rPr>
          <w:rFonts w:ascii="Times New Roman" w:hAnsi="Times New Roman" w:cs="Times New Roman"/>
          <w:sz w:val="24"/>
          <w:szCs w:val="24"/>
        </w:rPr>
        <w:t xml:space="preserve">127); or (7) </w:t>
      </w:r>
      <w:r>
        <w:rPr>
          <w:rFonts w:ascii="Times New Roman" w:hAnsi="Times New Roman" w:cs="Times New Roman" w:hint="eastAsia"/>
          <w:sz w:val="24"/>
          <w:szCs w:val="24"/>
        </w:rPr>
        <w:t>participants with</w:t>
      </w:r>
      <w:r w:rsidRPr="002938E3">
        <w:rPr>
          <w:rFonts w:ascii="Times New Roman" w:hAnsi="Times New Roman" w:cs="Times New Roman"/>
          <w:sz w:val="24"/>
          <w:szCs w:val="24"/>
        </w:rPr>
        <w:t xml:space="preserve"> </w:t>
      </w:r>
      <w:r>
        <w:rPr>
          <w:rFonts w:ascii="Times New Roman" w:hAnsi="Times New Roman" w:cs="Times New Roman" w:hint="eastAsia"/>
          <w:sz w:val="24"/>
          <w:szCs w:val="24"/>
        </w:rPr>
        <w:t xml:space="preserve">an </w:t>
      </w:r>
      <w:r w:rsidRPr="002938E3">
        <w:rPr>
          <w:rFonts w:ascii="Times New Roman" w:hAnsi="Times New Roman" w:cs="Times New Roman"/>
          <w:sz w:val="24"/>
          <w:szCs w:val="24"/>
        </w:rPr>
        <w:t xml:space="preserve">unreliable record of daily energy intake </w:t>
      </w:r>
      <w:r>
        <w:rPr>
          <w:rFonts w:ascii="Times New Roman" w:hAnsi="Times New Roman" w:cs="Times New Roman" w:hint="eastAsia"/>
          <w:sz w:val="24"/>
          <w:szCs w:val="24"/>
        </w:rPr>
        <w:t>(&lt;</w:t>
      </w:r>
      <w:r w:rsidRPr="002938E3">
        <w:rPr>
          <w:rFonts w:ascii="Times New Roman" w:hAnsi="Times New Roman" w:cs="Times New Roman"/>
          <w:sz w:val="24"/>
          <w:szCs w:val="24"/>
        </w:rPr>
        <w:t xml:space="preserve">600 kcal/day or </w:t>
      </w:r>
      <w:r>
        <w:rPr>
          <w:rFonts w:ascii="Times New Roman" w:hAnsi="Times New Roman" w:cs="Times New Roman" w:hint="eastAsia"/>
          <w:sz w:val="24"/>
          <w:szCs w:val="24"/>
        </w:rPr>
        <w:t>&gt;</w:t>
      </w:r>
      <w:r w:rsidRPr="002938E3">
        <w:rPr>
          <w:rFonts w:ascii="Times New Roman" w:hAnsi="Times New Roman" w:cs="Times New Roman"/>
          <w:sz w:val="24"/>
          <w:szCs w:val="24"/>
        </w:rPr>
        <w:t>5000 kcal/day, n = 40). Finally, 3,961 participants were included</w:t>
      </w:r>
      <w:r>
        <w:rPr>
          <w:rFonts w:ascii="Times New Roman" w:hAnsi="Times New Roman" w:cs="Times New Roman" w:hint="eastAsia"/>
          <w:sz w:val="24"/>
          <w:szCs w:val="24"/>
        </w:rPr>
        <w:t>.</w:t>
      </w:r>
    </w:p>
    <w:p w:rsidR="00307205" w:rsidRDefault="00307205" w:rsidP="00307205">
      <w:pPr>
        <w:rPr>
          <w:b/>
          <w:bCs/>
        </w:rPr>
      </w:pPr>
    </w:p>
    <w:p w:rsidR="00307205" w:rsidRPr="007B1DD3" w:rsidRDefault="00307205" w:rsidP="00307205">
      <w:pPr>
        <w:spacing w:line="480" w:lineRule="auto"/>
        <w:rPr>
          <w:rFonts w:ascii="Times New Roman" w:hAnsi="Times New Roman" w:cs="Times New Roman"/>
          <w:b/>
          <w:bCs/>
          <w:sz w:val="24"/>
          <w:szCs w:val="24"/>
        </w:rPr>
      </w:pPr>
      <w:r w:rsidRPr="007B1DD3">
        <w:rPr>
          <w:rFonts w:ascii="Times New Roman" w:hAnsi="Times New Roman" w:cs="Times New Roman"/>
          <w:b/>
          <w:bCs/>
          <w:sz w:val="24"/>
          <w:szCs w:val="24"/>
        </w:rPr>
        <w:t>Definition of MASLD</w:t>
      </w:r>
    </w:p>
    <w:p w:rsidR="00307205" w:rsidRPr="007B1DD3" w:rsidRDefault="00307205" w:rsidP="00307205">
      <w:pPr>
        <w:spacing w:line="480" w:lineRule="auto"/>
        <w:rPr>
          <w:rFonts w:ascii="Times New Roman" w:eastAsia="宋体" w:hAnsi="Times New Roman" w:cs="Times New Roman"/>
          <w:sz w:val="24"/>
          <w:szCs w:val="24"/>
        </w:rPr>
      </w:pPr>
      <w:r w:rsidRPr="002938E3">
        <w:rPr>
          <w:rFonts w:ascii="Times New Roman" w:hAnsi="Times New Roman" w:cs="Times New Roman"/>
          <w:sz w:val="24"/>
          <w:szCs w:val="24"/>
        </w:rPr>
        <w:t>Based on hepatic steatosis, MASLD was further diagnosed with the presence of more than one cardiometabolic risk factor. Due to its excellent performance in the U.S. population, the US fatty liver index was adopted, with a value over 30 indicating hepatic steatosis. The formula is as follows</w:t>
      </w:r>
      <w:r w:rsidRPr="007B1DD3">
        <w:rPr>
          <w:rFonts w:ascii="Times New Roman" w:hAnsi="Times New Roman" w:cs="Times New Roman"/>
          <w:sz w:val="24"/>
          <w:szCs w:val="24"/>
        </w:rPr>
        <w:t xml:space="preserve">: </w:t>
      </w:r>
      <w:r w:rsidRPr="00FE2302">
        <w:rPr>
          <w:rFonts w:ascii="Times New Roman" w:hAnsi="Times New Roman" w:cs="Times New Roman"/>
          <w:b/>
          <w:bCs/>
          <w:sz w:val="24"/>
          <w:szCs w:val="24"/>
        </w:rPr>
        <w:t>The US fatty liver index</w:t>
      </w:r>
      <w:r w:rsidRPr="002938E3">
        <w:rPr>
          <w:rFonts w:ascii="Times New Roman" w:hAnsi="Times New Roman" w:cs="Times New Roman"/>
          <w:sz w:val="24"/>
          <w:szCs w:val="24"/>
        </w:rPr>
        <w:t xml:space="preserve"> = (e</w:t>
      </w:r>
      <w:r w:rsidRPr="00562C9F">
        <w:rPr>
          <w:rFonts w:ascii="Times New Roman" w:hAnsi="Times New Roman"/>
          <w:sz w:val="24"/>
          <w:vertAlign w:val="superscript"/>
        </w:rPr>
        <w:t>−0.8073 × Non</w:t>
      </w:r>
      <w:r w:rsidRPr="007B1DD3">
        <w:rPr>
          <w:rFonts w:ascii="Times New Roman" w:eastAsia="宋体" w:hAnsi="Times New Roman" w:cs="Times New Roman"/>
          <w:sz w:val="24"/>
          <w:szCs w:val="24"/>
          <w:vertAlign w:val="superscript"/>
        </w:rPr>
        <w:t>−</w:t>
      </w:r>
      <w:r w:rsidRPr="00562C9F">
        <w:rPr>
          <w:rFonts w:ascii="Times New Roman" w:hAnsi="Times New Roman"/>
          <w:sz w:val="24"/>
          <w:vertAlign w:val="superscript"/>
        </w:rPr>
        <w:t>Hispanic Black</w:t>
      </w:r>
      <w:r>
        <w:rPr>
          <w:rFonts w:ascii="Times New Roman" w:hAnsi="Times New Roman" w:hint="eastAsia"/>
          <w:sz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0.3458 × Mexican American</w:t>
      </w:r>
      <w:r>
        <w:rPr>
          <w:rFonts w:ascii="Times New Roman" w:hAnsi="Times New Roman" w:hint="eastAsia"/>
          <w:sz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0.0093 × Age</w:t>
      </w:r>
      <w:r w:rsidRPr="007B1DD3">
        <w:rPr>
          <w:rFonts w:ascii="Times New Roman" w:eastAsia="宋体" w:hAnsi="Times New Roman" w:cs="Times New Roman"/>
          <w:sz w:val="24"/>
          <w:szCs w:val="24"/>
          <w:vertAlign w:val="superscript"/>
        </w:rPr>
        <w:t>+</w:t>
      </w:r>
      <w:r w:rsidRPr="00562C9F">
        <w:rPr>
          <w:rFonts w:ascii="Times New Roman" w:hAnsi="Times New Roman"/>
          <w:sz w:val="24"/>
          <w:vertAlign w:val="superscript"/>
        </w:rPr>
        <w:t>0.6151 × loge(Gamma glutamyltransferase</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0.0249 × Waist Circumference</w:t>
      </w:r>
      <w:r>
        <w:rPr>
          <w:rFonts w:ascii="Times New Roman" w:hAnsi="Times New Roman" w:hint="eastAsia"/>
          <w:sz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1.1792 × loge(Insulin</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0.8242 × loge(Glucose</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14.7812</w:t>
      </w:r>
      <w:r w:rsidRPr="007B1DD3">
        <w:rPr>
          <w:rFonts w:ascii="Times New Roman" w:eastAsia="宋体" w:hAnsi="Times New Roman" w:cs="Times New Roman"/>
          <w:sz w:val="24"/>
          <w:szCs w:val="24"/>
        </w:rPr>
        <w:t>)/(</w:t>
      </w:r>
      <w:r w:rsidRPr="002938E3">
        <w:rPr>
          <w:rFonts w:ascii="Times New Roman" w:hAnsi="Times New Roman" w:cs="Times New Roman"/>
          <w:sz w:val="24"/>
          <w:szCs w:val="24"/>
        </w:rPr>
        <w:t>1</w:t>
      </w:r>
      <w:r w:rsidRPr="007B1DD3">
        <w:rPr>
          <w:rFonts w:ascii="Times New Roman" w:eastAsia="宋体" w:hAnsi="Times New Roman" w:cs="Times New Roman"/>
          <w:sz w:val="24"/>
          <w:szCs w:val="24"/>
        </w:rPr>
        <w:t>+</w:t>
      </w:r>
      <w:r w:rsidRPr="002938E3">
        <w:rPr>
          <w:rFonts w:ascii="Times New Roman" w:hAnsi="Times New Roman" w:cs="Times New Roman"/>
          <w:sz w:val="24"/>
          <w:szCs w:val="24"/>
        </w:rPr>
        <w:t>e</w:t>
      </w:r>
      <w:r w:rsidRPr="00562C9F">
        <w:rPr>
          <w:rFonts w:ascii="Times New Roman" w:hAnsi="Times New Roman"/>
          <w:sz w:val="24"/>
          <w:vertAlign w:val="superscript"/>
        </w:rPr>
        <w:t>−0.8073 × Non</w:t>
      </w:r>
      <w:r w:rsidRPr="007B1DD3">
        <w:rPr>
          <w:rFonts w:ascii="Times New Roman" w:eastAsia="宋体" w:hAnsi="Times New Roman" w:cs="Times New Roman"/>
          <w:sz w:val="24"/>
          <w:szCs w:val="24"/>
          <w:vertAlign w:val="superscript"/>
        </w:rPr>
        <w:t>−</w:t>
      </w:r>
      <w:r w:rsidRPr="00562C9F">
        <w:rPr>
          <w:rFonts w:ascii="Times New Roman" w:hAnsi="Times New Roman"/>
          <w:sz w:val="24"/>
          <w:vertAlign w:val="superscript"/>
        </w:rPr>
        <w:t>Hispanic Black</w:t>
      </w:r>
      <w:r>
        <w:rPr>
          <w:rFonts w:ascii="Times New Roman" w:hAnsi="Times New Roman" w:hint="eastAsia"/>
          <w:sz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0.3458 × Mexican American</w:t>
      </w:r>
      <w:r>
        <w:rPr>
          <w:rFonts w:ascii="Times New Roman" w:hAnsi="Times New Roman" w:hint="eastAsia"/>
          <w:sz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0.0093 × Age</w:t>
      </w:r>
      <w:r>
        <w:rPr>
          <w:rFonts w:ascii="Times New Roman" w:hAnsi="Times New Roman" w:hint="eastAsia"/>
          <w:sz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0.6151 × loge(Gamma glutamyltransferase</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 xml:space="preserve">0.0249 × </w:t>
      </w:r>
      <w:r w:rsidRPr="007B1DD3">
        <w:rPr>
          <w:rFonts w:ascii="Times New Roman" w:eastAsia="宋体" w:hAnsi="Times New Roman" w:cs="Times New Roman"/>
          <w:sz w:val="24"/>
          <w:szCs w:val="24"/>
          <w:vertAlign w:val="superscript"/>
        </w:rPr>
        <w:t>waist circumference</w:t>
      </w:r>
      <w:r>
        <w:rPr>
          <w:rFonts w:ascii="Times New Roman" w:eastAsia="宋体" w:hAnsi="Times New Roman" w:cs="Times New Roman" w:hint="eastAsia"/>
          <w:sz w:val="24"/>
          <w:szCs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1.1792 × loge(Insulin</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 xml:space="preserve">0.8242 × </w:t>
      </w:r>
      <w:r w:rsidRPr="00562C9F">
        <w:rPr>
          <w:rFonts w:ascii="Times New Roman" w:hAnsi="Times New Roman"/>
          <w:sz w:val="24"/>
          <w:vertAlign w:val="superscript"/>
        </w:rPr>
        <w:lastRenderedPageBreak/>
        <w:t>loge(Glucose</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7B1DD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vertAlign w:val="superscript"/>
        </w:rPr>
        <w:t xml:space="preserve"> </w:t>
      </w:r>
      <w:r w:rsidRPr="00562C9F">
        <w:rPr>
          <w:rFonts w:ascii="Times New Roman" w:hAnsi="Times New Roman"/>
          <w:sz w:val="24"/>
          <w:vertAlign w:val="superscript"/>
        </w:rPr>
        <w:t>14.7812</w:t>
      </w:r>
      <w:r w:rsidRPr="007B1DD3">
        <w:rPr>
          <w:rFonts w:ascii="Times New Roman" w:eastAsia="宋体" w:hAnsi="Times New Roman" w:cs="Times New Roman"/>
          <w:sz w:val="24"/>
          <w:szCs w:val="24"/>
        </w:rPr>
        <w:t>)*</w:t>
      </w:r>
      <w:r w:rsidRPr="002938E3">
        <w:rPr>
          <w:rFonts w:ascii="Times New Roman" w:hAnsi="Times New Roman" w:cs="Times New Roman"/>
          <w:sz w:val="24"/>
          <w:szCs w:val="24"/>
        </w:rPr>
        <w:t>100.</w:t>
      </w:r>
      <w:r w:rsidRPr="007B1DD3">
        <w:rPr>
          <w:rFonts w:ascii="Times New Roman" w:eastAsia="宋体" w:hAnsi="Times New Roman" w:cs="Times New Roman"/>
          <w:sz w:val="24"/>
          <w:szCs w:val="24"/>
        </w:rPr>
        <w:t xml:space="preserve"> </w:t>
      </w:r>
      <w:r w:rsidRPr="002938E3">
        <w:rPr>
          <w:rFonts w:ascii="Times New Roman" w:hAnsi="Times New Roman" w:cs="Times New Roman"/>
          <w:sz w:val="24"/>
          <w:szCs w:val="24"/>
        </w:rPr>
        <w:br/>
        <w:t>According to the latest Delphi consensus statement, the cardiometabolic risk factors associated with MASLD were as follows:</w:t>
      </w:r>
    </w:p>
    <w:p w:rsidR="00307205" w:rsidRPr="007B1DD3" w:rsidRDefault="00307205" w:rsidP="00307205">
      <w:pPr>
        <w:spacing w:line="480" w:lineRule="auto"/>
        <w:rPr>
          <w:rFonts w:ascii="Times New Roman" w:eastAsia="宋体" w:hAnsi="Times New Roman" w:cs="Times New Roman"/>
          <w:sz w:val="24"/>
          <w:szCs w:val="24"/>
        </w:rPr>
      </w:pPr>
      <w:r w:rsidRPr="002938E3">
        <w:rPr>
          <w:rFonts w:ascii="Times New Roman" w:hAnsi="Times New Roman" w:cs="Times New Roman"/>
          <w:sz w:val="24"/>
          <w:szCs w:val="24"/>
        </w:rPr>
        <w:t>(1)</w:t>
      </w:r>
      <w:r>
        <w:rPr>
          <w:rFonts w:ascii="Times New Roman" w:hAnsi="Times New Roman" w:cs="Times New Roman" w:hint="eastAsia"/>
          <w:sz w:val="24"/>
          <w:szCs w:val="24"/>
        </w:rPr>
        <w:t xml:space="preserve"> BMI</w:t>
      </w:r>
      <w:r w:rsidRPr="002938E3">
        <w:rPr>
          <w:rFonts w:ascii="Times New Roman" w:hAnsi="Times New Roman" w:cs="Times New Roman"/>
          <w:sz w:val="24"/>
          <w:szCs w:val="24"/>
        </w:rPr>
        <w:t xml:space="preserve"> </w:t>
      </w:r>
      <w:bookmarkStart w:id="0" w:name="_Hlk167732700"/>
      <w:r w:rsidRPr="002938E3">
        <w:rPr>
          <w:rFonts w:ascii="Times New Roman" w:hAnsi="Times New Roman" w:cs="Times New Roman"/>
          <w:sz w:val="24"/>
          <w:szCs w:val="24"/>
        </w:rPr>
        <w:t>≥</w:t>
      </w:r>
      <w:bookmarkEnd w:id="0"/>
      <w:r w:rsidRPr="002938E3">
        <w:rPr>
          <w:rFonts w:ascii="Times New Roman" w:hAnsi="Times New Roman" w:cs="Times New Roman"/>
          <w:sz w:val="24"/>
          <w:szCs w:val="24"/>
        </w:rPr>
        <w:t>25 kg/</w:t>
      </w:r>
      <w:r w:rsidRPr="007B1DD3">
        <w:rPr>
          <w:rFonts w:ascii="Times New Roman" w:eastAsia="宋体" w:hAnsi="Times New Roman" w:cs="Times New Roman"/>
          <w:sz w:val="24"/>
          <w:szCs w:val="24"/>
        </w:rPr>
        <w:t>m</w:t>
      </w:r>
      <w:r w:rsidRPr="00612D4C">
        <w:rPr>
          <w:rFonts w:ascii="Times New Roman" w:eastAsia="宋体" w:hAnsi="Times New Roman" w:cs="Times New Roman"/>
          <w:sz w:val="24"/>
          <w:szCs w:val="24"/>
          <w:vertAlign w:val="superscript"/>
        </w:rPr>
        <w:t>2</w:t>
      </w:r>
      <w:r w:rsidRPr="002938E3">
        <w:rPr>
          <w:rFonts w:ascii="Times New Roman" w:hAnsi="Times New Roman" w:cs="Times New Roman"/>
          <w:sz w:val="24"/>
          <w:szCs w:val="24"/>
        </w:rPr>
        <w:t xml:space="preserve"> or waist circumference over 94/80 cm (male/female);</w:t>
      </w:r>
      <w:r w:rsidRPr="007B1DD3">
        <w:rPr>
          <w:rFonts w:ascii="Times New Roman" w:eastAsia="宋体" w:hAnsi="Times New Roman" w:cs="Times New Roman"/>
          <w:sz w:val="24"/>
          <w:szCs w:val="24"/>
        </w:rPr>
        <w:t xml:space="preserve"> </w:t>
      </w:r>
      <w:r w:rsidRPr="002938E3">
        <w:rPr>
          <w:rFonts w:ascii="Times New Roman" w:hAnsi="Times New Roman" w:cs="Times New Roman"/>
          <w:sz w:val="24"/>
          <w:szCs w:val="24"/>
        </w:rPr>
        <w:t>(2) Fasting serum glucose level ≥5.6 mmol/L (100 mg/dL), hemoglobin A1c level ≥5.7% (39 mmol/mol), type 2 diabetes, or treatment for type 2 diabetes;</w:t>
      </w:r>
      <w:r w:rsidRPr="007B1DD3">
        <w:rPr>
          <w:rFonts w:ascii="Times New Roman" w:eastAsia="宋体" w:hAnsi="Times New Roman" w:cs="Times New Roman"/>
          <w:sz w:val="24"/>
          <w:szCs w:val="24"/>
        </w:rPr>
        <w:t xml:space="preserve"> </w:t>
      </w:r>
      <w:r w:rsidRPr="002938E3">
        <w:rPr>
          <w:rFonts w:ascii="Times New Roman" w:hAnsi="Times New Roman" w:cs="Times New Roman"/>
          <w:sz w:val="24"/>
          <w:szCs w:val="24"/>
        </w:rPr>
        <w:t>(3) Blood pressure ≥130/85 mmHg or specific antihypertensive drug treatment;</w:t>
      </w:r>
      <w:r w:rsidRPr="007B1DD3">
        <w:rPr>
          <w:rFonts w:ascii="Times New Roman" w:eastAsia="宋体" w:hAnsi="Times New Roman" w:cs="Times New Roman"/>
          <w:sz w:val="24"/>
          <w:szCs w:val="24"/>
        </w:rPr>
        <w:t xml:space="preserve"> </w:t>
      </w:r>
      <w:r w:rsidRPr="002938E3">
        <w:rPr>
          <w:rFonts w:ascii="Times New Roman" w:hAnsi="Times New Roman" w:cs="Times New Roman"/>
          <w:sz w:val="24"/>
          <w:szCs w:val="24"/>
        </w:rPr>
        <w:t>(4) Plasma triglyceride level ≥1.70 mmol/L (150 mg/dL) or lipid-lowering treatment;</w:t>
      </w:r>
      <w:r w:rsidRPr="007B1DD3">
        <w:rPr>
          <w:rFonts w:ascii="Times New Roman" w:eastAsia="宋体" w:hAnsi="Times New Roman" w:cs="Times New Roman"/>
          <w:sz w:val="24"/>
          <w:szCs w:val="24"/>
        </w:rPr>
        <w:t xml:space="preserve"> </w:t>
      </w:r>
      <w:r w:rsidRPr="002938E3">
        <w:rPr>
          <w:rFonts w:ascii="Times New Roman" w:hAnsi="Times New Roman" w:cs="Times New Roman"/>
          <w:sz w:val="24"/>
          <w:szCs w:val="24"/>
        </w:rPr>
        <w:t>(5) Plasma high-density lipoprotein cholesterol ≤1.0 mmol/L (40 mg/dL</w:t>
      </w:r>
      <w:r>
        <w:rPr>
          <w:rFonts w:ascii="Times New Roman" w:eastAsia="宋体" w:hAnsi="Times New Roman" w:cs="Times New Roman" w:hint="eastAsia"/>
          <w:sz w:val="24"/>
          <w:szCs w:val="24"/>
        </w:rPr>
        <w:t>,</w:t>
      </w:r>
      <w:r w:rsidRPr="002938E3">
        <w:rPr>
          <w:rFonts w:ascii="Times New Roman" w:hAnsi="Times New Roman" w:cs="Times New Roman"/>
          <w:sz w:val="24"/>
          <w:szCs w:val="24"/>
        </w:rPr>
        <w:t xml:space="preserve"> males) and ≤1.3 mmol/L (50 mg/dL</w:t>
      </w:r>
      <w:r>
        <w:rPr>
          <w:rFonts w:ascii="Times New Roman" w:eastAsia="宋体" w:hAnsi="Times New Roman" w:cs="Times New Roman" w:hint="eastAsia"/>
          <w:sz w:val="24"/>
          <w:szCs w:val="24"/>
        </w:rPr>
        <w:t>,</w:t>
      </w:r>
      <w:r w:rsidRPr="002938E3">
        <w:rPr>
          <w:rFonts w:ascii="Times New Roman" w:hAnsi="Times New Roman" w:cs="Times New Roman"/>
          <w:sz w:val="24"/>
          <w:szCs w:val="24"/>
        </w:rPr>
        <w:t xml:space="preserve"> females</w:t>
      </w:r>
      <w:r w:rsidRPr="007B1DD3">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2938E3">
        <w:rPr>
          <w:rFonts w:ascii="Times New Roman" w:hAnsi="Times New Roman" w:cs="Times New Roman"/>
          <w:sz w:val="24"/>
          <w:szCs w:val="24"/>
        </w:rPr>
        <w:t xml:space="preserve"> or lipid-lowering treatment</w:t>
      </w:r>
      <w:r w:rsidRPr="007B1DD3">
        <w:rPr>
          <w:rFonts w:ascii="Times New Roman" w:eastAsia="宋体" w:hAnsi="Times New Roman" w:cs="Times New Roman"/>
          <w:sz w:val="24"/>
          <w:szCs w:val="24"/>
        </w:rPr>
        <w:t>.</w:t>
      </w:r>
      <w:r w:rsidRPr="001C2F5B">
        <w:rPr>
          <w:rFonts w:ascii="Times New Roman" w:eastAsia="宋体" w:hAnsi="Times New Roman" w:cs="Times New Roman"/>
          <w:sz w:val="24"/>
          <w:szCs w:val="24"/>
        </w:rPr>
        <w:t xml:space="preserve"> </w:t>
      </w:r>
      <w:r w:rsidRPr="001C2F5B">
        <w:rPr>
          <w:rFonts w:ascii="Times New Roman" w:eastAsia="宋体" w:hAnsi="Times New Roman" w:cs="Times New Roman"/>
          <w:noProof/>
          <w:sz w:val="24"/>
          <w:szCs w:val="24"/>
          <w:vertAlign w:val="superscript"/>
        </w:rPr>
        <w:t>1</w:t>
      </w:r>
    </w:p>
    <w:p w:rsidR="00307205" w:rsidRPr="00314EB4" w:rsidRDefault="00307205" w:rsidP="00307205">
      <w:pPr>
        <w:spacing w:line="48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D</w:t>
      </w:r>
      <w:r w:rsidRPr="00314EB4">
        <w:rPr>
          <w:rFonts w:ascii="Times New Roman" w:eastAsia="宋体" w:hAnsi="Times New Roman" w:cs="Times New Roman"/>
          <w:b/>
          <w:bCs/>
          <w:sz w:val="24"/>
          <w:szCs w:val="24"/>
        </w:rPr>
        <w:t xml:space="preserve">etailed information about </w:t>
      </w:r>
      <w:r>
        <w:rPr>
          <w:rFonts w:ascii="Times New Roman" w:eastAsia="宋体" w:hAnsi="Times New Roman" w:cs="Times New Roman"/>
          <w:b/>
          <w:bCs/>
          <w:sz w:val="24"/>
          <w:szCs w:val="24"/>
        </w:rPr>
        <w:t>urinary</w:t>
      </w:r>
      <w:r w:rsidRPr="00314EB4">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phthalate</w:t>
      </w:r>
      <w:r w:rsidRPr="00314EB4">
        <w:rPr>
          <w:rFonts w:ascii="Times New Roman" w:eastAsia="宋体" w:hAnsi="Times New Roman" w:cs="Times New Roman"/>
          <w:b/>
          <w:bCs/>
          <w:sz w:val="24"/>
          <w:szCs w:val="24"/>
        </w:rPr>
        <w:t xml:space="preserve"> metabolites</w:t>
      </w:r>
    </w:p>
    <w:p w:rsidR="00307205" w:rsidRPr="00314EB4" w:rsidRDefault="00307205" w:rsidP="00307205">
      <w:pPr>
        <w:spacing w:line="480" w:lineRule="auto"/>
        <w:rPr>
          <w:rFonts w:ascii="Times New Roman" w:eastAsia="宋体" w:hAnsi="Times New Roman" w:cs="Times New Roman"/>
          <w:sz w:val="24"/>
          <w:szCs w:val="24"/>
        </w:rPr>
      </w:pPr>
      <w:r w:rsidRPr="002938E3">
        <w:rPr>
          <w:rFonts w:ascii="Times New Roman" w:eastAsia="宋体" w:hAnsi="Times New Roman" w:cs="Times New Roman"/>
          <w:sz w:val="24"/>
          <w:szCs w:val="24"/>
        </w:rPr>
        <w:t xml:space="preserve">Urine specimens were collected and stored under appropriate frozen conditions (–20°C to –40°C) until they were shipped to the National Center for Environmental Health for testing. Urine samples were processed using enzymatic deconjugation of the glucuronidated phthalate monoesters and then analyzed by online solid-phase extraction coupled with reversed-phase high-performance liquid chromatography–isotope dilution–tandem mass spectrometry. The </w:t>
      </w:r>
      <w:r w:rsidRPr="00062E5E">
        <w:rPr>
          <w:rFonts w:ascii="Times New Roman" w:eastAsia="宋体" w:hAnsi="Times New Roman" w:cs="Times New Roman" w:hint="eastAsia"/>
          <w:sz w:val="24"/>
          <w:szCs w:val="24"/>
        </w:rPr>
        <w:t>low</w:t>
      </w:r>
      <w:r w:rsidRPr="002938E3">
        <w:rPr>
          <w:rFonts w:ascii="Times New Roman" w:eastAsia="宋体" w:hAnsi="Times New Roman" w:cs="Times New Roman"/>
          <w:sz w:val="24"/>
          <w:szCs w:val="24"/>
        </w:rPr>
        <w:t xml:space="preserve"> limit of detection (LLOD) for each phthalate metabolite was provided by NHANES, and LLOD/√2 replaced </w:t>
      </w:r>
      <w:r w:rsidRPr="00062E5E">
        <w:rPr>
          <w:rFonts w:ascii="Times New Roman" w:eastAsia="宋体" w:hAnsi="Times New Roman" w:cs="Times New Roman" w:hint="eastAsia"/>
          <w:sz w:val="24"/>
          <w:szCs w:val="24"/>
        </w:rPr>
        <w:t>values below LLOD.</w:t>
      </w:r>
      <w:r>
        <w:rPr>
          <w:rFonts w:ascii="Times New Roman" w:eastAsia="宋体" w:hAnsi="Times New Roman" w:cs="Times New Roman" w:hint="eastAsia"/>
          <w:sz w:val="24"/>
          <w:szCs w:val="24"/>
        </w:rPr>
        <w:t xml:space="preserve"> </w:t>
      </w:r>
      <w:r w:rsidRPr="00314EB4">
        <w:rPr>
          <w:rFonts w:ascii="Times New Roman" w:eastAsia="宋体" w:hAnsi="Times New Roman" w:cs="Times New Roman"/>
          <w:sz w:val="24"/>
          <w:szCs w:val="24"/>
        </w:rPr>
        <w:t xml:space="preserve">Detailed information about </w:t>
      </w:r>
      <w:r>
        <w:rPr>
          <w:rFonts w:ascii="Times New Roman" w:eastAsia="宋体" w:hAnsi="Times New Roman" w:cs="Times New Roman" w:hint="eastAsia"/>
          <w:sz w:val="24"/>
          <w:szCs w:val="24"/>
        </w:rPr>
        <w:t xml:space="preserve">the </w:t>
      </w:r>
      <w:r w:rsidRPr="00314EB4">
        <w:rPr>
          <w:rFonts w:ascii="Times New Roman" w:eastAsia="宋体" w:hAnsi="Times New Roman" w:cs="Times New Roman"/>
          <w:sz w:val="24"/>
          <w:szCs w:val="24"/>
        </w:rPr>
        <w:t>phthalate analytical methods is available on the NHANES website (http://www.cdc.gov/nchs/nhanes.htm</w:t>
      </w:r>
      <w:r w:rsidRPr="002938E3">
        <w:rPr>
          <w:rFonts w:ascii="Times New Roman" w:eastAsia="宋体" w:hAnsi="Times New Roman" w:cs="Times New Roman"/>
          <w:sz w:val="24"/>
          <w:szCs w:val="24"/>
        </w:rPr>
        <w:t>)</w:t>
      </w:r>
      <w:r w:rsidRPr="00314EB4">
        <w:rPr>
          <w:rFonts w:ascii="Times New Roman" w:eastAsia="宋体" w:hAnsi="Times New Roman" w:cs="Times New Roman"/>
          <w:sz w:val="24"/>
          <w:szCs w:val="24"/>
        </w:rPr>
        <w:t>.</w:t>
      </w:r>
    </w:p>
    <w:p w:rsidR="00307205" w:rsidRPr="00314EB4" w:rsidRDefault="00307205" w:rsidP="00307205">
      <w:pPr>
        <w:spacing w:line="480" w:lineRule="auto"/>
        <w:rPr>
          <w:rFonts w:ascii="Times New Roman" w:eastAsia="宋体" w:hAnsi="Times New Roman" w:cs="Times New Roman"/>
          <w:sz w:val="24"/>
          <w:szCs w:val="24"/>
        </w:rPr>
      </w:pPr>
      <w:r w:rsidRPr="00314EB4">
        <w:rPr>
          <w:rFonts w:ascii="Times New Roman" w:eastAsia="宋体" w:hAnsi="Times New Roman" w:cs="Times New Roman"/>
          <w:sz w:val="24"/>
          <w:szCs w:val="24"/>
        </w:rPr>
        <w:t>The full name</w:t>
      </w:r>
      <w:r>
        <w:rPr>
          <w:rFonts w:ascii="Times New Roman" w:eastAsia="宋体" w:hAnsi="Times New Roman" w:cs="Times New Roman" w:hint="eastAsia"/>
          <w:sz w:val="24"/>
          <w:szCs w:val="24"/>
        </w:rPr>
        <w:t>s</w:t>
      </w:r>
      <w:r w:rsidRPr="00314EB4">
        <w:rPr>
          <w:rFonts w:ascii="Times New Roman" w:eastAsia="宋体" w:hAnsi="Times New Roman" w:cs="Times New Roman"/>
          <w:sz w:val="24"/>
          <w:szCs w:val="24"/>
        </w:rPr>
        <w:t xml:space="preserve"> and type</w:t>
      </w:r>
      <w:r>
        <w:rPr>
          <w:rFonts w:ascii="Times New Roman" w:eastAsia="宋体" w:hAnsi="Times New Roman" w:cs="Times New Roman" w:hint="eastAsia"/>
          <w:sz w:val="24"/>
          <w:szCs w:val="24"/>
        </w:rPr>
        <w:t>s</w:t>
      </w:r>
      <w:r w:rsidRPr="00314EB4">
        <w:rPr>
          <w:rFonts w:ascii="Times New Roman" w:eastAsia="宋体" w:hAnsi="Times New Roman" w:cs="Times New Roman"/>
          <w:sz w:val="24"/>
          <w:szCs w:val="24"/>
        </w:rPr>
        <w:t xml:space="preserve"> of phthalate metabolites </w:t>
      </w:r>
      <w:r>
        <w:rPr>
          <w:rFonts w:ascii="Times New Roman" w:eastAsia="宋体" w:hAnsi="Times New Roman" w:cs="Times New Roman" w:hint="eastAsia"/>
          <w:sz w:val="24"/>
          <w:szCs w:val="24"/>
        </w:rPr>
        <w:t>are</w:t>
      </w:r>
      <w:r w:rsidRPr="00314EB4">
        <w:rPr>
          <w:rFonts w:ascii="Times New Roman" w:eastAsia="宋体" w:hAnsi="Times New Roman" w:cs="Times New Roman"/>
          <w:sz w:val="24"/>
          <w:szCs w:val="24"/>
        </w:rPr>
        <w:t xml:space="preserve"> as follows: mono-(2-ethylhexyl) phthalate (MEHP), mono-(2-ethyl-5-hydroxylhexyl) phthalate (MEHHP), mono-(2-ethyl-</w:t>
      </w:r>
      <w:r w:rsidRPr="00314EB4">
        <w:rPr>
          <w:rFonts w:ascii="Times New Roman" w:eastAsia="宋体" w:hAnsi="Times New Roman" w:cs="Times New Roman"/>
          <w:sz w:val="24"/>
          <w:szCs w:val="24"/>
        </w:rPr>
        <w:lastRenderedPageBreak/>
        <w:t xml:space="preserve">5-oxohexyl) phthalate (MEOHP), </w:t>
      </w:r>
      <w:r>
        <w:rPr>
          <w:rFonts w:ascii="Times New Roman" w:eastAsia="宋体" w:hAnsi="Times New Roman" w:cs="Times New Roman" w:hint="eastAsia"/>
          <w:sz w:val="24"/>
          <w:szCs w:val="24"/>
        </w:rPr>
        <w:t xml:space="preserve">and </w:t>
      </w:r>
      <w:r w:rsidRPr="00314EB4">
        <w:rPr>
          <w:rFonts w:ascii="Times New Roman" w:eastAsia="宋体" w:hAnsi="Times New Roman" w:cs="Times New Roman"/>
          <w:sz w:val="24"/>
          <w:szCs w:val="24"/>
        </w:rPr>
        <w:t xml:space="preserve">mono-(2-ethyl-5-carboxypentyl) phthalate (MECPP) are metabolites of Di-(2-ethyl-hexyl) phthalate (DEHP); mono-isobutyl phthalate (MiBP) </w:t>
      </w:r>
      <w:r>
        <w:rPr>
          <w:rFonts w:ascii="Times New Roman" w:eastAsia="宋体" w:hAnsi="Times New Roman" w:cs="Times New Roman" w:hint="eastAsia"/>
          <w:sz w:val="24"/>
          <w:szCs w:val="24"/>
        </w:rPr>
        <w:t>is a</w:t>
      </w:r>
      <w:r w:rsidRPr="00314EB4">
        <w:rPr>
          <w:rFonts w:ascii="Times New Roman" w:eastAsia="宋体" w:hAnsi="Times New Roman" w:cs="Times New Roman"/>
          <w:sz w:val="24"/>
          <w:szCs w:val="24"/>
        </w:rPr>
        <w:t xml:space="preserve"> metabolite of di-isobutyl phthalate (DiBP); mono-isononyl phthalate (MiNP)</w:t>
      </w:r>
      <w:r>
        <w:rPr>
          <w:rFonts w:ascii="Times New Roman" w:eastAsia="宋体" w:hAnsi="Times New Roman" w:cs="Times New Roman" w:hint="eastAsia"/>
          <w:sz w:val="24"/>
          <w:szCs w:val="24"/>
        </w:rPr>
        <w:t xml:space="preserve"> and</w:t>
      </w:r>
      <w:r w:rsidRPr="00314EB4">
        <w:rPr>
          <w:rFonts w:ascii="Times New Roman" w:eastAsia="宋体" w:hAnsi="Times New Roman" w:cs="Times New Roman"/>
          <w:sz w:val="24"/>
          <w:szCs w:val="24"/>
        </w:rPr>
        <w:t xml:space="preserve"> mono</w:t>
      </w:r>
      <w:r>
        <w:rPr>
          <w:rFonts w:ascii="Times New Roman" w:eastAsia="宋体" w:hAnsi="Times New Roman" w:cs="Times New Roman" w:hint="eastAsia"/>
          <w:sz w:val="24"/>
          <w:szCs w:val="24"/>
        </w:rPr>
        <w:t>-</w:t>
      </w:r>
      <w:r w:rsidRPr="00314EB4">
        <w:rPr>
          <w:rFonts w:ascii="Times New Roman" w:eastAsia="宋体" w:hAnsi="Times New Roman" w:cs="Times New Roman"/>
          <w:sz w:val="24"/>
          <w:szCs w:val="24"/>
        </w:rPr>
        <w:t xml:space="preserve">(carboxyoctyl) phthalate (MCOP) are metabolites of Di-iso-decyl phthalate(DiDP); mono-ethyl phthalate (MEP) is the metabolite of diethyl phthalate (DEP); mono-n-butyl phthalate (MnBP) is the metabolite of dibutyl phthalate (DBP); monobenzyl phthalate (MBzP) is the metabolite of butylbenzyl phthalate (BBzP); </w:t>
      </w:r>
      <w:r>
        <w:rPr>
          <w:rFonts w:ascii="Times New Roman" w:eastAsia="宋体" w:hAnsi="Times New Roman" w:cs="Times New Roman" w:hint="eastAsia"/>
          <w:sz w:val="24"/>
          <w:szCs w:val="24"/>
        </w:rPr>
        <w:t xml:space="preserve">and </w:t>
      </w:r>
      <w:r w:rsidRPr="00314EB4">
        <w:rPr>
          <w:rFonts w:ascii="Times New Roman" w:eastAsia="宋体" w:hAnsi="Times New Roman" w:cs="Times New Roman"/>
          <w:sz w:val="24"/>
          <w:szCs w:val="24"/>
        </w:rPr>
        <w:t>mono-(3-carboxypropyl) phthalate (MCPP) is</w:t>
      </w:r>
      <w:r>
        <w:rPr>
          <w:rFonts w:ascii="Times New Roman" w:eastAsia="宋体" w:hAnsi="Times New Roman" w:cs="Times New Roman" w:hint="eastAsia"/>
          <w:sz w:val="24"/>
          <w:szCs w:val="24"/>
        </w:rPr>
        <w:t xml:space="preserve"> a</w:t>
      </w:r>
      <w:r w:rsidRPr="00314EB4">
        <w:rPr>
          <w:rFonts w:ascii="Times New Roman" w:eastAsia="宋体" w:hAnsi="Times New Roman" w:cs="Times New Roman"/>
          <w:sz w:val="24"/>
          <w:szCs w:val="24"/>
        </w:rPr>
        <w:t xml:space="preserve"> non-specific metabolite of several phthalates</w:t>
      </w:r>
      <w:r>
        <w:rPr>
          <w:rFonts w:ascii="Times New Roman" w:eastAsia="宋体" w:hAnsi="Times New Roman" w:cs="Times New Roman" w:hint="eastAsia"/>
          <w:sz w:val="24"/>
          <w:szCs w:val="24"/>
        </w:rPr>
        <w:t>,</w:t>
      </w:r>
      <w:r w:rsidRPr="00314EB4">
        <w:rPr>
          <w:rFonts w:ascii="Times New Roman" w:eastAsia="宋体" w:hAnsi="Times New Roman" w:cs="Times New Roman"/>
          <w:sz w:val="24"/>
          <w:szCs w:val="24"/>
        </w:rPr>
        <w:t xml:space="preserve"> including mono-n-butyl phthalate (MnBP), dibutyl phthalate (DBP), mono-n-octyl phthalate (MnOP)</w:t>
      </w:r>
      <w:r>
        <w:rPr>
          <w:rFonts w:ascii="Times New Roman" w:eastAsia="宋体" w:hAnsi="Times New Roman" w:cs="Times New Roman" w:hint="eastAsia"/>
          <w:sz w:val="24"/>
          <w:szCs w:val="24"/>
        </w:rPr>
        <w:t>,</w:t>
      </w:r>
      <w:r w:rsidRPr="00314EB4">
        <w:rPr>
          <w:rFonts w:ascii="Times New Roman" w:eastAsia="宋体" w:hAnsi="Times New Roman" w:cs="Times New Roman"/>
          <w:sz w:val="24"/>
          <w:szCs w:val="24"/>
        </w:rPr>
        <w:t xml:space="preserve"> and di-n-octyl phthalate (DnOP).</w:t>
      </w:r>
    </w:p>
    <w:p w:rsidR="00307205" w:rsidRDefault="00307205" w:rsidP="00307205">
      <w:pPr>
        <w:rPr>
          <w:rFonts w:ascii="Times New Roman" w:hAnsi="Times New Roman" w:cs="Times New Roman"/>
          <w:sz w:val="24"/>
          <w:szCs w:val="24"/>
        </w:rPr>
      </w:pPr>
    </w:p>
    <w:p w:rsidR="00307205" w:rsidRPr="00B57B48" w:rsidRDefault="00307205" w:rsidP="00307205">
      <w:pPr>
        <w:rPr>
          <w:rFonts w:ascii="Times New Roman" w:hAnsi="Times New Roman" w:cs="Times New Roman"/>
          <w:b/>
          <w:bCs/>
          <w:sz w:val="24"/>
          <w:szCs w:val="24"/>
        </w:rPr>
      </w:pPr>
      <w:r w:rsidRPr="00B57B48">
        <w:rPr>
          <w:rFonts w:ascii="Times New Roman" w:hAnsi="Times New Roman" w:cs="Times New Roman"/>
          <w:b/>
          <w:bCs/>
          <w:sz w:val="24"/>
          <w:szCs w:val="24"/>
        </w:rPr>
        <w:t xml:space="preserve">Detailed information about </w:t>
      </w:r>
      <w:r w:rsidRPr="00B57B48">
        <w:rPr>
          <w:rFonts w:ascii="Times New Roman" w:hAnsi="Times New Roman" w:cs="Times New Roman" w:hint="eastAsia"/>
          <w:b/>
          <w:bCs/>
          <w:sz w:val="24"/>
          <w:szCs w:val="24"/>
        </w:rPr>
        <w:t>covariates</w:t>
      </w:r>
    </w:p>
    <w:p w:rsidR="00307205" w:rsidRDefault="00307205" w:rsidP="00307205">
      <w:pPr>
        <w:spacing w:line="480" w:lineRule="auto"/>
        <w:rPr>
          <w:rFonts w:ascii="Times New Roman" w:hAnsi="Times New Roman" w:cs="Times New Roman"/>
          <w:sz w:val="24"/>
          <w:szCs w:val="24"/>
        </w:rPr>
      </w:pPr>
      <w:r w:rsidRPr="002938E3">
        <w:rPr>
          <w:rFonts w:ascii="Times New Roman" w:hAnsi="Times New Roman" w:cs="Times New Roman"/>
          <w:sz w:val="24"/>
          <w:szCs w:val="24"/>
        </w:rPr>
        <w:t xml:space="preserve">Covariates included age (divided by quantiles: </w:t>
      </w:r>
      <w:r w:rsidRPr="00A6724B">
        <w:rPr>
          <w:rFonts w:ascii="Times New Roman" w:hAnsi="Times New Roman" w:cs="Times New Roman"/>
          <w:sz w:val="24"/>
          <w:szCs w:val="24"/>
        </w:rPr>
        <w:t>&lt;</w:t>
      </w:r>
      <w:r w:rsidRPr="002938E3">
        <w:rPr>
          <w:rFonts w:ascii="Times New Roman" w:hAnsi="Times New Roman" w:cs="Times New Roman"/>
          <w:sz w:val="24"/>
          <w:szCs w:val="24"/>
        </w:rPr>
        <w:t xml:space="preserve">34, 34–50, 50–64, </w:t>
      </w:r>
      <w:r w:rsidRPr="00A6724B">
        <w:rPr>
          <w:rFonts w:ascii="Times New Roman" w:hAnsi="Times New Roman" w:cs="Times New Roman"/>
          <w:sz w:val="24"/>
          <w:szCs w:val="24"/>
        </w:rPr>
        <w:t>&gt;</w:t>
      </w:r>
      <w:r w:rsidRPr="002938E3">
        <w:rPr>
          <w:rFonts w:ascii="Times New Roman" w:hAnsi="Times New Roman" w:cs="Times New Roman"/>
          <w:sz w:val="24"/>
          <w:szCs w:val="24"/>
        </w:rPr>
        <w:t xml:space="preserve">64), sex (male </w:t>
      </w:r>
      <w:r>
        <w:rPr>
          <w:rFonts w:ascii="Times New Roman" w:hAnsi="Times New Roman" w:cs="Times New Roman" w:hint="eastAsia"/>
          <w:sz w:val="24"/>
          <w:szCs w:val="24"/>
        </w:rPr>
        <w:t>or</w:t>
      </w:r>
      <w:r w:rsidRPr="002938E3">
        <w:rPr>
          <w:rFonts w:ascii="Times New Roman" w:hAnsi="Times New Roman" w:cs="Times New Roman"/>
          <w:sz w:val="24"/>
          <w:szCs w:val="24"/>
        </w:rPr>
        <w:t xml:space="preserve"> female), race (Mexican American, Non-Hispanic White, Non-Hispanic Black, and others), BMI </w:t>
      </w:r>
      <w:r w:rsidRPr="00B57B48">
        <w:rPr>
          <w:rFonts w:ascii="Times New Roman" w:hAnsi="Times New Roman" w:cs="Times New Roman"/>
          <w:sz w:val="24"/>
          <w:szCs w:val="24"/>
        </w:rPr>
        <w:t>(&lt;25kg/m</w:t>
      </w:r>
      <w:r w:rsidRPr="001F7217">
        <w:rPr>
          <w:rFonts w:ascii="Times New Roman" w:hAnsi="Times New Roman" w:cs="Times New Roman"/>
          <w:sz w:val="24"/>
          <w:szCs w:val="24"/>
          <w:vertAlign w:val="superscript"/>
        </w:rPr>
        <w:t>2,</w:t>
      </w:r>
      <w:r w:rsidRPr="00B57B48">
        <w:rPr>
          <w:rFonts w:ascii="Times New Roman" w:hAnsi="Times New Roman" w:cs="Times New Roman"/>
          <w:sz w:val="24"/>
          <w:szCs w:val="24"/>
        </w:rPr>
        <w:t xml:space="preserve"> </w:t>
      </w:r>
      <w:r w:rsidRPr="002938E3">
        <w:rPr>
          <w:rFonts w:ascii="Times New Roman" w:hAnsi="Times New Roman" w:cs="Times New Roman"/>
          <w:sz w:val="24"/>
          <w:szCs w:val="24"/>
        </w:rPr>
        <w:t>25</w:t>
      </w:r>
      <w:r w:rsidRPr="00B57B48">
        <w:rPr>
          <w:rFonts w:ascii="Times New Roman" w:hAnsi="Times New Roman" w:cs="Times New Roman"/>
          <w:sz w:val="24"/>
          <w:szCs w:val="24"/>
        </w:rPr>
        <w:t>-30kg/m</w:t>
      </w:r>
      <w:r w:rsidRPr="001F7217">
        <w:rPr>
          <w:rFonts w:ascii="Times New Roman" w:hAnsi="Times New Roman" w:cs="Times New Roman"/>
          <w:sz w:val="24"/>
          <w:szCs w:val="24"/>
          <w:vertAlign w:val="superscript"/>
        </w:rPr>
        <w:t>2</w:t>
      </w:r>
      <w:r w:rsidRPr="00B57B48">
        <w:rPr>
          <w:rFonts w:ascii="Times New Roman" w:hAnsi="Times New Roman" w:cs="Times New Roman"/>
          <w:sz w:val="24"/>
          <w:szCs w:val="24"/>
        </w:rPr>
        <w:t>, &gt;30kg/m</w:t>
      </w:r>
      <w:r w:rsidRPr="001F7217">
        <w:rPr>
          <w:rFonts w:ascii="Times New Roman" w:hAnsi="Times New Roman" w:cs="Times New Roman"/>
          <w:sz w:val="24"/>
          <w:szCs w:val="24"/>
          <w:vertAlign w:val="superscript"/>
        </w:rPr>
        <w:t>2</w:t>
      </w:r>
      <w:r w:rsidRPr="00B57B48">
        <w:rPr>
          <w:rFonts w:ascii="Times New Roman" w:hAnsi="Times New Roman" w:cs="Times New Roman"/>
          <w:sz w:val="24"/>
          <w:szCs w:val="24"/>
        </w:rPr>
        <w:t>),</w:t>
      </w:r>
      <w:r w:rsidRPr="002938E3">
        <w:rPr>
          <w:rFonts w:ascii="Times New Roman" w:hAnsi="Times New Roman" w:cs="Times New Roman"/>
          <w:sz w:val="24"/>
          <w:szCs w:val="24"/>
        </w:rPr>
        <w:t xml:space="preserve"> hypertension, diabetes, education level (less than high school, high school graduate, college or above), smoking status (never, former, and current smokers), drinking status (drinker, non-drinker), poverty-income ratio </w:t>
      </w:r>
      <w:r w:rsidRPr="00B57B48">
        <w:rPr>
          <w:rFonts w:ascii="Times New Roman" w:hAnsi="Times New Roman" w:cs="Times New Roman"/>
          <w:sz w:val="24"/>
          <w:szCs w:val="24"/>
        </w:rPr>
        <w:t>(&lt;</w:t>
      </w:r>
      <w:r w:rsidRPr="002938E3">
        <w:rPr>
          <w:rFonts w:ascii="Times New Roman" w:hAnsi="Times New Roman" w:cs="Times New Roman"/>
          <w:sz w:val="24"/>
          <w:szCs w:val="24"/>
        </w:rPr>
        <w:t xml:space="preserve">1.3, 1.3–3.5, </w:t>
      </w:r>
      <w:r w:rsidRPr="00B57B48">
        <w:rPr>
          <w:rFonts w:ascii="Times New Roman" w:hAnsi="Times New Roman" w:cs="Times New Roman"/>
          <w:sz w:val="24"/>
          <w:szCs w:val="24"/>
        </w:rPr>
        <w:t>&gt;</w:t>
      </w:r>
      <w:r w:rsidRPr="002938E3">
        <w:rPr>
          <w:rFonts w:ascii="Times New Roman" w:hAnsi="Times New Roman" w:cs="Times New Roman"/>
          <w:sz w:val="24"/>
          <w:szCs w:val="24"/>
        </w:rPr>
        <w:t>3.5, missing), urinary creatinine (mg/dL), total energy intake (kcal/day),</w:t>
      </w:r>
      <w:r w:rsidRPr="00562C9F">
        <w:t xml:space="preserve"> </w:t>
      </w:r>
      <w:r w:rsidRPr="002938E3">
        <w:rPr>
          <w:rFonts w:ascii="Times New Roman" w:hAnsi="Times New Roman" w:cs="Times New Roman"/>
          <w:sz w:val="24"/>
          <w:szCs w:val="24"/>
        </w:rPr>
        <w:t>dietary supplement usage (any dietary supplements and medications during the past month), healthy eating index-2020 (HEI-2020), and composite dietary antioxidant index (CDAI).</w:t>
      </w:r>
      <w:r w:rsidRPr="00B57B48">
        <w:rPr>
          <w:rFonts w:ascii="Times New Roman" w:hAnsi="Times New Roman" w:cs="Times New Roman"/>
          <w:sz w:val="24"/>
          <w:szCs w:val="24"/>
        </w:rPr>
        <w:t xml:space="preserve"> </w:t>
      </w:r>
    </w:p>
    <w:p w:rsidR="00307205" w:rsidRDefault="00307205" w:rsidP="00307205">
      <w:pPr>
        <w:spacing w:line="480" w:lineRule="auto"/>
        <w:rPr>
          <w:rFonts w:ascii="Times New Roman" w:hAnsi="Times New Roman" w:cs="Times New Roman"/>
          <w:sz w:val="24"/>
          <w:szCs w:val="24"/>
        </w:rPr>
      </w:pPr>
      <w:r w:rsidRPr="002938E3">
        <w:rPr>
          <w:rFonts w:ascii="Times New Roman" w:hAnsi="Times New Roman" w:cs="Times New Roman"/>
          <w:sz w:val="24"/>
          <w:szCs w:val="24"/>
        </w:rPr>
        <w:t>Hypertension was diagnosed by blood pressure ≥</w:t>
      </w:r>
      <w:r w:rsidRPr="004D3E12">
        <w:rPr>
          <w:rFonts w:ascii="Times New Roman" w:hAnsi="Times New Roman" w:cs="Times New Roman"/>
          <w:sz w:val="24"/>
          <w:szCs w:val="24"/>
        </w:rPr>
        <w:t xml:space="preserve"> </w:t>
      </w:r>
      <w:r w:rsidRPr="002938E3">
        <w:rPr>
          <w:rFonts w:ascii="Times New Roman" w:hAnsi="Times New Roman" w:cs="Times New Roman"/>
          <w:sz w:val="24"/>
          <w:szCs w:val="24"/>
        </w:rPr>
        <w:t>140/90 mmHg, the use of antihypertensive medications, or a doctor's diagnosis. Diabetes was defined as self-</w:t>
      </w:r>
      <w:r w:rsidRPr="002938E3">
        <w:rPr>
          <w:rFonts w:ascii="Times New Roman" w:hAnsi="Times New Roman" w:cs="Times New Roman"/>
          <w:sz w:val="24"/>
          <w:szCs w:val="24"/>
        </w:rPr>
        <w:lastRenderedPageBreak/>
        <w:t xml:space="preserve">reported or hospital-diagnosed type 2 diabetes, fasting plasma glucose level ≥126 mg/dL, or glycated hemoglobin A1c </w:t>
      </w:r>
      <w:r w:rsidRPr="004D3E12">
        <w:rPr>
          <w:rFonts w:ascii="Times New Roman" w:hAnsi="Times New Roman" w:cs="Times New Roman" w:hint="eastAsia"/>
          <w:sz w:val="24"/>
          <w:szCs w:val="24"/>
        </w:rPr>
        <w:t xml:space="preserve">over </w:t>
      </w:r>
      <w:r w:rsidRPr="002938E3">
        <w:rPr>
          <w:rFonts w:ascii="Times New Roman" w:hAnsi="Times New Roman" w:cs="Times New Roman"/>
          <w:sz w:val="24"/>
          <w:szCs w:val="24"/>
        </w:rPr>
        <w:t xml:space="preserve">6.5%. Smoking status was defined as never smokers </w:t>
      </w:r>
      <w:r w:rsidRPr="00B57B48">
        <w:rPr>
          <w:rFonts w:ascii="Times New Roman" w:hAnsi="Times New Roman" w:cs="Times New Roman"/>
          <w:sz w:val="24"/>
          <w:szCs w:val="24"/>
        </w:rPr>
        <w:t>(&lt;</w:t>
      </w:r>
      <w:r w:rsidRPr="002938E3">
        <w:rPr>
          <w:rFonts w:ascii="Times New Roman" w:hAnsi="Times New Roman" w:cs="Times New Roman"/>
          <w:sz w:val="24"/>
          <w:szCs w:val="24"/>
        </w:rPr>
        <w:t xml:space="preserve">100 cigarettes in a lifetime), former smokers </w:t>
      </w:r>
      <w:r w:rsidRPr="00B57B48">
        <w:rPr>
          <w:rFonts w:ascii="Times New Roman" w:hAnsi="Times New Roman" w:cs="Times New Roman"/>
          <w:sz w:val="24"/>
          <w:szCs w:val="24"/>
        </w:rPr>
        <w:t>(&gt;</w:t>
      </w:r>
      <w:r w:rsidRPr="002938E3">
        <w:rPr>
          <w:rFonts w:ascii="Times New Roman" w:hAnsi="Times New Roman" w:cs="Times New Roman"/>
          <w:sz w:val="24"/>
          <w:szCs w:val="24"/>
        </w:rPr>
        <w:t xml:space="preserve">100 cigarettes in a lifetime but not smoking now), or current smokers </w:t>
      </w:r>
      <w:r w:rsidRPr="00B57B48">
        <w:rPr>
          <w:rFonts w:ascii="Times New Roman" w:hAnsi="Times New Roman" w:cs="Times New Roman"/>
          <w:sz w:val="24"/>
          <w:szCs w:val="24"/>
        </w:rPr>
        <w:t>(&gt;</w:t>
      </w:r>
      <w:r w:rsidRPr="002938E3">
        <w:rPr>
          <w:rFonts w:ascii="Times New Roman" w:hAnsi="Times New Roman" w:cs="Times New Roman"/>
          <w:sz w:val="24"/>
          <w:szCs w:val="24"/>
        </w:rPr>
        <w:t>100 cigarettes in a lifetime and smoking now). Leisure time physical activity</w:t>
      </w:r>
      <w:r>
        <w:rPr>
          <w:rFonts w:ascii="Times New Roman" w:hAnsi="Times New Roman" w:cs="Times New Roman" w:hint="eastAsia"/>
          <w:sz w:val="24"/>
          <w:szCs w:val="24"/>
        </w:rPr>
        <w:t>,</w:t>
      </w:r>
      <w:r w:rsidRPr="002938E3">
        <w:rPr>
          <w:rFonts w:ascii="Times New Roman" w:hAnsi="Times New Roman" w:cs="Times New Roman"/>
          <w:sz w:val="24"/>
          <w:szCs w:val="24"/>
        </w:rPr>
        <w:t xml:space="preserve"> including sports, fitness, and recreational activities, was classified as insufficient </w:t>
      </w:r>
      <w:r>
        <w:rPr>
          <w:rFonts w:ascii="Times New Roman" w:hAnsi="Times New Roman" w:cs="Times New Roman" w:hint="eastAsia"/>
          <w:sz w:val="24"/>
          <w:szCs w:val="24"/>
        </w:rPr>
        <w:t>(&lt;150 m</w:t>
      </w:r>
      <w:r w:rsidRPr="002938E3">
        <w:rPr>
          <w:rFonts w:ascii="Times New Roman" w:hAnsi="Times New Roman" w:cs="Times New Roman"/>
          <w:sz w:val="24"/>
          <w:szCs w:val="24"/>
        </w:rPr>
        <w:t>/week) or sufficient (≥</w:t>
      </w:r>
      <w:r>
        <w:rPr>
          <w:rFonts w:ascii="Times New Roman" w:hAnsi="Times New Roman" w:cs="Times New Roman" w:hint="eastAsia"/>
          <w:sz w:val="24"/>
          <w:szCs w:val="24"/>
        </w:rPr>
        <w:t>150 m</w:t>
      </w:r>
      <w:r w:rsidRPr="002938E3">
        <w:rPr>
          <w:rFonts w:ascii="Times New Roman" w:hAnsi="Times New Roman" w:cs="Times New Roman"/>
          <w:sz w:val="24"/>
          <w:szCs w:val="24"/>
        </w:rPr>
        <w:t>/week</w:t>
      </w:r>
      <w:r>
        <w:rPr>
          <w:rFonts w:ascii="Times New Roman" w:hAnsi="Times New Roman" w:cs="Times New Roman" w:hint="eastAsia"/>
          <w:sz w:val="24"/>
          <w:szCs w:val="24"/>
        </w:rPr>
        <w:t xml:space="preserve"> </w:t>
      </w:r>
      <w:r w:rsidRPr="002938E3">
        <w:rPr>
          <w:rFonts w:ascii="Times New Roman" w:hAnsi="Times New Roman" w:cs="Times New Roman"/>
          <w:sz w:val="24"/>
          <w:szCs w:val="24"/>
        </w:rPr>
        <w:t>using the ‘Global Physical Activity Questionnaire’</w:t>
      </w:r>
      <w:r>
        <w:rPr>
          <w:rFonts w:ascii="Times New Roman" w:hAnsi="Times New Roman" w:cs="Times New Roman" w:hint="eastAsia"/>
          <w:sz w:val="24"/>
          <w:szCs w:val="24"/>
        </w:rPr>
        <w:t>).</w:t>
      </w:r>
      <w:r w:rsidRPr="002938E3">
        <w:rPr>
          <w:rFonts w:ascii="Times New Roman" w:hAnsi="Times New Roman" w:cs="Times New Roman"/>
          <w:sz w:val="24"/>
          <w:szCs w:val="24"/>
        </w:rPr>
        <w:t xml:space="preserve"> Participants were categorized as non-drinkers if they had fewer than 12 </w:t>
      </w:r>
      <w:r>
        <w:rPr>
          <w:rFonts w:ascii="Times New Roman" w:hAnsi="Times New Roman" w:cs="Times New Roman"/>
          <w:sz w:val="24"/>
          <w:szCs w:val="24"/>
        </w:rPr>
        <w:t>alcoholic</w:t>
      </w:r>
      <w:r w:rsidRPr="002938E3">
        <w:rPr>
          <w:rFonts w:ascii="Times New Roman" w:hAnsi="Times New Roman" w:cs="Times New Roman"/>
          <w:sz w:val="24"/>
          <w:szCs w:val="24"/>
        </w:rPr>
        <w:t xml:space="preserve"> drinks in the past year or in their lifetime, while those who consumed more than 12 </w:t>
      </w:r>
      <w:r>
        <w:rPr>
          <w:rFonts w:ascii="Times New Roman" w:hAnsi="Times New Roman" w:cs="Times New Roman"/>
          <w:sz w:val="24"/>
          <w:szCs w:val="24"/>
        </w:rPr>
        <w:t>alcoholic</w:t>
      </w:r>
      <w:r w:rsidRPr="002938E3">
        <w:rPr>
          <w:rFonts w:ascii="Times New Roman" w:hAnsi="Times New Roman" w:cs="Times New Roman"/>
          <w:sz w:val="24"/>
          <w:szCs w:val="24"/>
        </w:rPr>
        <w:t xml:space="preserve"> drinks in the past year or in their lifetime were considered drinkers.</w:t>
      </w:r>
      <w:r>
        <w:rPr>
          <w:rFonts w:ascii="Times New Roman" w:hAnsi="Times New Roman" w:cs="Times New Roman" w:hint="eastAsia"/>
          <w:sz w:val="24"/>
          <w:szCs w:val="24"/>
        </w:rPr>
        <w:t xml:space="preserve"> </w:t>
      </w:r>
      <w:r w:rsidRPr="002938E3">
        <w:rPr>
          <w:rFonts w:ascii="Times New Roman" w:hAnsi="Times New Roman" w:cs="Times New Roman"/>
          <w:sz w:val="24"/>
          <w:szCs w:val="24"/>
        </w:rPr>
        <w:t>HEI-2020 is a scoring system composed of 13 food components, evaluating overall diet quality. CDAI, which reflects an estimate of an individual's overall antioxidant exposure, is a combined index calculated using dietary antioxidants, including manganese, selenium, zinc, and vitamins A, C, and E. HEI-2020 and CDAI were calculated as previously reported</w:t>
      </w:r>
      <w:r>
        <w:rPr>
          <w:rFonts w:ascii="Times New Roman" w:hAnsi="Times New Roman" w:cs="Times New Roman" w:hint="eastAsia"/>
          <w:sz w:val="24"/>
          <w:szCs w:val="24"/>
        </w:rPr>
        <w:t xml:space="preserve">. </w:t>
      </w:r>
      <w:r w:rsidRPr="0063614E">
        <w:rPr>
          <w:rFonts w:ascii="Times New Roman" w:hAnsi="Times New Roman" w:cs="Times New Roman"/>
          <w:noProof/>
          <w:sz w:val="24"/>
          <w:szCs w:val="24"/>
          <w:vertAlign w:val="superscript"/>
        </w:rPr>
        <w:t>2, 3</w:t>
      </w:r>
    </w:p>
    <w:p w:rsidR="00307205" w:rsidRDefault="00307205" w:rsidP="00307205">
      <w:pPr>
        <w:spacing w:line="480" w:lineRule="auto"/>
        <w:rPr>
          <w:rFonts w:ascii="Times New Roman" w:hAnsi="Times New Roman" w:cs="Times New Roman"/>
          <w:b/>
          <w:bCs/>
          <w:sz w:val="24"/>
          <w:szCs w:val="24"/>
        </w:rPr>
      </w:pPr>
      <w:r>
        <w:rPr>
          <w:rFonts w:ascii="Times New Roman" w:hAnsi="Times New Roman" w:cs="Times New Roman" w:hint="eastAsia"/>
          <w:b/>
          <w:bCs/>
          <w:sz w:val="24"/>
          <w:szCs w:val="24"/>
        </w:rPr>
        <w:t>A</w:t>
      </w:r>
      <w:r w:rsidRPr="00BC64E9">
        <w:rPr>
          <w:rFonts w:ascii="Times New Roman" w:hAnsi="Times New Roman" w:cs="Times New Roman"/>
          <w:b/>
          <w:bCs/>
          <w:sz w:val="24"/>
          <w:szCs w:val="24"/>
        </w:rPr>
        <w:t xml:space="preserve">ntioxidant agent </w:t>
      </w:r>
      <w:r>
        <w:rPr>
          <w:rFonts w:ascii="Times New Roman" w:hAnsi="Times New Roman" w:cs="Times New Roman" w:hint="eastAsia"/>
          <w:b/>
          <w:bCs/>
          <w:sz w:val="24"/>
          <w:szCs w:val="24"/>
        </w:rPr>
        <w:t>assessment</w:t>
      </w:r>
    </w:p>
    <w:p w:rsidR="00307205" w:rsidRDefault="00307205" w:rsidP="00307205">
      <w:pPr>
        <w:spacing w:line="480" w:lineRule="auto"/>
        <w:rPr>
          <w:rFonts w:ascii="Times New Roman" w:hAnsi="Times New Roman" w:cs="Times New Roman"/>
          <w:sz w:val="24"/>
          <w:szCs w:val="24"/>
        </w:rPr>
      </w:pPr>
      <w:r w:rsidRPr="002938E3">
        <w:rPr>
          <w:rFonts w:ascii="Times New Roman" w:hAnsi="Times New Roman" w:cs="Times New Roman"/>
          <w:sz w:val="24"/>
          <w:szCs w:val="24"/>
        </w:rPr>
        <w:t xml:space="preserve">Intakes of antioxidants were assessed by two 24-h dietary recall interviews. The first interview was conducted by trained interviewers in the Mobile Examination Center, and the second was collected </w:t>
      </w:r>
      <w:r>
        <w:rPr>
          <w:rFonts w:ascii="Times New Roman" w:hAnsi="Times New Roman" w:cs="Times New Roman" w:hint="eastAsia"/>
          <w:sz w:val="24"/>
          <w:szCs w:val="24"/>
        </w:rPr>
        <w:t>three</w:t>
      </w:r>
      <w:r w:rsidRPr="002938E3">
        <w:rPr>
          <w:rFonts w:ascii="Times New Roman" w:hAnsi="Times New Roman" w:cs="Times New Roman"/>
          <w:sz w:val="24"/>
          <w:szCs w:val="24"/>
        </w:rPr>
        <w:t xml:space="preserve"> to 10 days later by telephone. The 24-h dietary recall interviews recorded the types and amounts of foods and beverages consumed during the 24-h period before the interview, and food energy and 64 nutrients/food components were calculated using USDA's Food and Nutrient Database for Dietary Studies. The included antioxidants were as follows: vitamin A</w:t>
      </w:r>
      <w:r w:rsidRPr="00562C9F">
        <w:t xml:space="preserve"> </w:t>
      </w:r>
      <w:r w:rsidRPr="002938E3">
        <w:rPr>
          <w:rFonts w:ascii="Times New Roman" w:hAnsi="Times New Roman" w:cs="Times New Roman"/>
          <w:sz w:val="24"/>
          <w:szCs w:val="24"/>
        </w:rPr>
        <w:t>(mcg/day), thiamin (vitamin B1)</w:t>
      </w:r>
      <w:r w:rsidRPr="00562C9F">
        <w:t xml:space="preserve"> </w:t>
      </w:r>
      <w:r w:rsidRPr="002938E3">
        <w:rPr>
          <w:rFonts w:ascii="Times New Roman" w:hAnsi="Times New Roman" w:cs="Times New Roman"/>
          <w:sz w:val="24"/>
          <w:szCs w:val="24"/>
        </w:rPr>
        <w:t>(mg/day), riboflavin (vitamin B2)</w:t>
      </w:r>
      <w:r w:rsidRPr="00562C9F">
        <w:t xml:space="preserve"> </w:t>
      </w:r>
      <w:r w:rsidRPr="002938E3">
        <w:rPr>
          <w:rFonts w:ascii="Times New Roman" w:hAnsi="Times New Roman" w:cs="Times New Roman"/>
          <w:sz w:val="24"/>
          <w:szCs w:val="24"/>
        </w:rPr>
        <w:t>(mg/day), vitamin B6</w:t>
      </w:r>
      <w:r w:rsidRPr="00562C9F">
        <w:t xml:space="preserve"> </w:t>
      </w:r>
      <w:r w:rsidRPr="002938E3">
        <w:rPr>
          <w:rFonts w:ascii="Times New Roman" w:hAnsi="Times New Roman" w:cs="Times New Roman"/>
          <w:sz w:val="24"/>
          <w:szCs w:val="24"/>
        </w:rPr>
        <w:t>(mg/day), vitamin C</w:t>
      </w:r>
      <w:r w:rsidRPr="00562C9F">
        <w:t xml:space="preserve"> </w:t>
      </w:r>
      <w:r w:rsidRPr="002938E3">
        <w:rPr>
          <w:rFonts w:ascii="Times New Roman" w:hAnsi="Times New Roman" w:cs="Times New Roman"/>
          <w:sz w:val="24"/>
          <w:szCs w:val="24"/>
        </w:rPr>
        <w:t xml:space="preserve">(mg/day), </w:t>
      </w:r>
      <w:r w:rsidRPr="002938E3">
        <w:rPr>
          <w:rFonts w:ascii="Times New Roman" w:hAnsi="Times New Roman" w:cs="Times New Roman"/>
          <w:sz w:val="24"/>
          <w:szCs w:val="24"/>
        </w:rPr>
        <w:lastRenderedPageBreak/>
        <w:t>alpha-carotene</w:t>
      </w:r>
      <w:r w:rsidRPr="00562C9F">
        <w:t xml:space="preserve"> </w:t>
      </w:r>
      <w:r w:rsidRPr="002938E3">
        <w:rPr>
          <w:rFonts w:ascii="Times New Roman" w:hAnsi="Times New Roman" w:cs="Times New Roman"/>
          <w:sz w:val="24"/>
          <w:szCs w:val="24"/>
        </w:rPr>
        <w:t>(mcg/day), beta-carotene</w:t>
      </w:r>
      <w:r w:rsidRPr="00562C9F">
        <w:t xml:space="preserve"> </w:t>
      </w:r>
      <w:r w:rsidRPr="002938E3">
        <w:rPr>
          <w:rFonts w:ascii="Times New Roman" w:hAnsi="Times New Roman" w:cs="Times New Roman"/>
          <w:sz w:val="24"/>
          <w:szCs w:val="24"/>
        </w:rPr>
        <w:t>(mcg/day), beta-cryptoxanthin</w:t>
      </w:r>
      <w:r w:rsidRPr="00562C9F">
        <w:t xml:space="preserve"> </w:t>
      </w:r>
      <w:r w:rsidRPr="002938E3">
        <w:rPr>
          <w:rFonts w:ascii="Times New Roman" w:hAnsi="Times New Roman" w:cs="Times New Roman"/>
          <w:sz w:val="24"/>
          <w:szCs w:val="24"/>
        </w:rPr>
        <w:t>(mcg/day), lutein + zeaxanthin</w:t>
      </w:r>
      <w:r w:rsidRPr="00562C9F">
        <w:t xml:space="preserve"> </w:t>
      </w:r>
      <w:r w:rsidRPr="002938E3">
        <w:rPr>
          <w:rFonts w:ascii="Times New Roman" w:hAnsi="Times New Roman" w:cs="Times New Roman"/>
          <w:sz w:val="24"/>
          <w:szCs w:val="24"/>
        </w:rPr>
        <w:t>(mcg/day), retinol</w:t>
      </w:r>
      <w:r w:rsidRPr="00562C9F">
        <w:t xml:space="preserve"> </w:t>
      </w:r>
      <w:r w:rsidRPr="002938E3">
        <w:rPr>
          <w:rFonts w:ascii="Times New Roman" w:hAnsi="Times New Roman" w:cs="Times New Roman"/>
          <w:sz w:val="24"/>
          <w:szCs w:val="24"/>
        </w:rPr>
        <w:t>(mcg/day), lycopene (mcg/day), food folate</w:t>
      </w:r>
      <w:r w:rsidRPr="00562C9F">
        <w:t xml:space="preserve"> </w:t>
      </w:r>
      <w:r w:rsidRPr="002938E3">
        <w:rPr>
          <w:rFonts w:ascii="Times New Roman" w:hAnsi="Times New Roman" w:cs="Times New Roman"/>
          <w:sz w:val="24"/>
          <w:szCs w:val="24"/>
        </w:rPr>
        <w:t>(mcg/day), selenium</w:t>
      </w:r>
      <w:r w:rsidRPr="00562C9F">
        <w:t xml:space="preserve"> </w:t>
      </w:r>
      <w:r w:rsidRPr="002938E3">
        <w:rPr>
          <w:rFonts w:ascii="Times New Roman" w:hAnsi="Times New Roman" w:cs="Times New Roman"/>
          <w:sz w:val="24"/>
          <w:szCs w:val="24"/>
        </w:rPr>
        <w:t>(mg/day), iron (mg/day), and zinc (mg/day)</w:t>
      </w:r>
      <w:r>
        <w:rPr>
          <w:rFonts w:ascii="Times New Roman" w:hAnsi="Times New Roman" w:cs="Times New Roman" w:hint="eastAsia"/>
          <w:sz w:val="24"/>
          <w:szCs w:val="24"/>
        </w:rPr>
        <w:t>.</w:t>
      </w:r>
    </w:p>
    <w:p w:rsidR="00307205" w:rsidRPr="001E2236" w:rsidRDefault="00307205" w:rsidP="00307205">
      <w:pPr>
        <w:rPr>
          <w:rFonts w:ascii="Times New Roman" w:hAnsi="Times New Roman" w:cs="Times New Roman"/>
          <w:b/>
          <w:bCs/>
          <w:sz w:val="24"/>
          <w:szCs w:val="24"/>
        </w:rPr>
      </w:pPr>
      <w:r w:rsidRPr="008042C1">
        <w:rPr>
          <w:rFonts w:ascii="Times New Roman" w:hAnsi="Times New Roman" w:cs="Times New Roman"/>
          <w:b/>
          <w:bCs/>
          <w:sz w:val="24"/>
          <w:szCs w:val="24"/>
        </w:rPr>
        <w:t>Weighted quantile sum</w:t>
      </w:r>
      <w:r>
        <w:rPr>
          <w:rFonts w:ascii="Times New Roman" w:hAnsi="Times New Roman" w:cs="Times New Roman" w:hint="eastAsia"/>
          <w:b/>
          <w:bCs/>
          <w:sz w:val="24"/>
          <w:szCs w:val="24"/>
        </w:rPr>
        <w:t xml:space="preserve"> (</w:t>
      </w:r>
      <w:r w:rsidRPr="001E2236">
        <w:rPr>
          <w:rFonts w:ascii="Times New Roman" w:hAnsi="Times New Roman" w:cs="Times New Roman"/>
          <w:b/>
          <w:bCs/>
          <w:sz w:val="24"/>
          <w:szCs w:val="24"/>
        </w:rPr>
        <w:t>WQS</w:t>
      </w:r>
      <w:r>
        <w:rPr>
          <w:rFonts w:ascii="Times New Roman" w:hAnsi="Times New Roman" w:cs="Times New Roman" w:hint="eastAsia"/>
          <w:b/>
          <w:bCs/>
          <w:sz w:val="24"/>
          <w:szCs w:val="24"/>
        </w:rPr>
        <w:t>)</w:t>
      </w:r>
      <w:r w:rsidRPr="001E2236">
        <w:rPr>
          <w:rFonts w:ascii="Times New Roman" w:hAnsi="Times New Roman" w:cs="Times New Roman"/>
          <w:b/>
          <w:bCs/>
          <w:sz w:val="24"/>
          <w:szCs w:val="24"/>
        </w:rPr>
        <w:t xml:space="preserve"> regression</w:t>
      </w:r>
    </w:p>
    <w:p w:rsidR="00307205" w:rsidRDefault="00307205" w:rsidP="00307205">
      <w:pPr>
        <w:spacing w:line="480" w:lineRule="auto"/>
        <w:rPr>
          <w:rFonts w:ascii="Times New Roman" w:hAnsi="Times New Roman" w:cs="Times New Roman"/>
          <w:sz w:val="24"/>
        </w:rPr>
      </w:pPr>
      <w:r w:rsidRPr="002938E3">
        <w:rPr>
          <w:rFonts w:ascii="Times New Roman" w:hAnsi="Times New Roman" w:cs="Times New Roman"/>
          <w:sz w:val="24"/>
        </w:rPr>
        <w:t>WQS regression was performed to explore the effects of a phthalates mixture on MASLD, using the 'gWQS' package in R.</w:t>
      </w:r>
      <w:r w:rsidRPr="00562C9F">
        <w:t xml:space="preserve"> </w:t>
      </w:r>
      <w:r w:rsidRPr="002938E3">
        <w:rPr>
          <w:rFonts w:ascii="Times New Roman" w:hAnsi="Times New Roman" w:cs="Times New Roman"/>
          <w:sz w:val="24"/>
        </w:rPr>
        <w:t>This method tests the combined effect of chemicals, where their weights are constrained to sum to 1. We tested both the positive and negative effects of the phthalates mixture and selected the significant direction. The WQS index is calculated by the weighted sum of chemical concentrations and is then included in the regression model. Bar plots were used to display the sorted weights of the phthalates</w:t>
      </w:r>
      <w:r w:rsidRPr="006F72A8">
        <w:rPr>
          <w:rFonts w:ascii="Times New Roman" w:hAnsi="Times New Roman" w:cs="Times New Roman"/>
          <w:sz w:val="24"/>
        </w:rPr>
        <w:t xml:space="preserve">. </w:t>
      </w:r>
    </w:p>
    <w:p w:rsidR="00307205" w:rsidRPr="00CF7CAC" w:rsidRDefault="00307205" w:rsidP="00307205">
      <w:pPr>
        <w:suppressLineNumbers/>
        <w:spacing w:line="480" w:lineRule="auto"/>
        <w:rPr>
          <w:rFonts w:ascii="Times New Roman" w:hAnsi="Times New Roman" w:cs="Times New Roman"/>
          <w:sz w:val="24"/>
          <w:szCs w:val="24"/>
        </w:rPr>
      </w:pPr>
    </w:p>
    <w:p w:rsidR="00307205" w:rsidRPr="000B2BF3" w:rsidRDefault="00307205" w:rsidP="00307205">
      <w:pPr>
        <w:spacing w:line="480" w:lineRule="auto"/>
        <w:rPr>
          <w:rFonts w:ascii="Times New Roman" w:hAnsi="Times New Roman" w:cs="Times New Roman"/>
          <w:b/>
          <w:bCs/>
          <w:sz w:val="24"/>
          <w:szCs w:val="24"/>
        </w:rPr>
      </w:pPr>
      <w:r w:rsidRPr="000B2BF3">
        <w:rPr>
          <w:rFonts w:ascii="Times New Roman" w:hAnsi="Times New Roman" w:cs="Times New Roman"/>
          <w:b/>
          <w:bCs/>
          <w:sz w:val="24"/>
          <w:szCs w:val="24"/>
        </w:rPr>
        <w:t>Reference</w:t>
      </w:r>
      <w:r>
        <w:rPr>
          <w:rFonts w:ascii="Times New Roman" w:hAnsi="Times New Roman" w:cs="Times New Roman"/>
          <w:b/>
          <w:bCs/>
          <w:sz w:val="24"/>
          <w:szCs w:val="24"/>
        </w:rPr>
        <w:t>s</w:t>
      </w:r>
    </w:p>
    <w:p w:rsidR="00307205" w:rsidRPr="000B2BF3" w:rsidRDefault="00307205" w:rsidP="00307205">
      <w:pPr>
        <w:pStyle w:val="EndNoteBibliography"/>
        <w:spacing w:line="480" w:lineRule="auto"/>
        <w:rPr>
          <w:rFonts w:ascii="Times New Roman" w:hAnsi="Times New Roman" w:cs="Times New Roman"/>
          <w:sz w:val="24"/>
          <w:szCs w:val="24"/>
        </w:rPr>
      </w:pPr>
      <w:r w:rsidRPr="000B2BF3">
        <w:rPr>
          <w:rFonts w:ascii="Times New Roman" w:hAnsi="Times New Roman" w:cs="Times New Roman"/>
          <w:sz w:val="24"/>
          <w:szCs w:val="24"/>
        </w:rPr>
        <w:t>1.</w:t>
      </w:r>
      <w:r w:rsidRPr="000B2BF3">
        <w:rPr>
          <w:rFonts w:ascii="Times New Roman" w:hAnsi="Times New Roman" w:cs="Times New Roman"/>
          <w:sz w:val="24"/>
          <w:szCs w:val="24"/>
        </w:rPr>
        <w:tab/>
      </w:r>
      <w:r w:rsidRPr="00013477">
        <w:rPr>
          <w:rFonts w:ascii="Times New Roman" w:hAnsi="Times New Roman" w:cs="Times New Roman"/>
          <w:sz w:val="24"/>
          <w:szCs w:val="24"/>
        </w:rPr>
        <w:t xml:space="preserve">Rinella ME, Lazarus JV, Ratziu V, Francque SM, Sanyal AJ, Kanwal F, </w:t>
      </w:r>
      <w:r w:rsidRPr="006C6833">
        <w:rPr>
          <w:rFonts w:ascii="Times New Roman" w:hAnsi="Times New Roman" w:cs="Times New Roman" w:hint="eastAsia"/>
          <w:i/>
          <w:iCs/>
          <w:sz w:val="24"/>
          <w:szCs w:val="24"/>
        </w:rPr>
        <w:t>et al</w:t>
      </w:r>
      <w:r w:rsidRPr="00013477">
        <w:rPr>
          <w:rFonts w:ascii="Times New Roman" w:hAnsi="Times New Roman" w:cs="Times New Roman"/>
          <w:sz w:val="24"/>
          <w:szCs w:val="24"/>
        </w:rPr>
        <w:t>. A multisociety Delphi consensus statement on new fatty liver disease nomenclature. J Hepatol 2023;79(6):1542-1556. doi: 10.1016/j.jhep.2023.06.003. PMID: 37364790.</w:t>
      </w:r>
    </w:p>
    <w:p w:rsidR="00307205" w:rsidRPr="000B2BF3" w:rsidRDefault="00307205" w:rsidP="00307205">
      <w:pPr>
        <w:pStyle w:val="EndNoteBibliography"/>
        <w:spacing w:line="480" w:lineRule="auto"/>
        <w:rPr>
          <w:rFonts w:ascii="Times New Roman" w:hAnsi="Times New Roman" w:cs="Times New Roman"/>
          <w:sz w:val="24"/>
          <w:szCs w:val="24"/>
        </w:rPr>
      </w:pPr>
      <w:r w:rsidRPr="000B2BF3">
        <w:rPr>
          <w:rFonts w:ascii="Times New Roman" w:hAnsi="Times New Roman" w:cs="Times New Roman"/>
          <w:sz w:val="24"/>
          <w:szCs w:val="24"/>
        </w:rPr>
        <w:t>2.</w:t>
      </w:r>
      <w:r w:rsidRPr="000B2BF3">
        <w:rPr>
          <w:rFonts w:ascii="Times New Roman" w:hAnsi="Times New Roman" w:cs="Times New Roman"/>
          <w:sz w:val="24"/>
          <w:szCs w:val="24"/>
        </w:rPr>
        <w:tab/>
      </w:r>
      <w:r w:rsidRPr="00E304FA">
        <w:rPr>
          <w:rFonts w:ascii="Times New Roman" w:hAnsi="Times New Roman" w:cs="Times New Roman"/>
          <w:sz w:val="24"/>
          <w:szCs w:val="24"/>
        </w:rPr>
        <w:t xml:space="preserve">Shams-White MM, Pannucci TE, Lerman JL, Herrick KA, Zimmer M, Meyers Mathieu K, </w:t>
      </w:r>
      <w:r w:rsidRPr="00957542">
        <w:rPr>
          <w:rFonts w:ascii="Times New Roman" w:hAnsi="Times New Roman" w:cs="Times New Roman" w:hint="eastAsia"/>
          <w:i/>
          <w:iCs/>
          <w:sz w:val="24"/>
          <w:szCs w:val="24"/>
        </w:rPr>
        <w:t>et al</w:t>
      </w:r>
      <w:r w:rsidRPr="00E304FA">
        <w:rPr>
          <w:rFonts w:ascii="Times New Roman" w:hAnsi="Times New Roman" w:cs="Times New Roman"/>
          <w:sz w:val="24"/>
          <w:szCs w:val="24"/>
        </w:rPr>
        <w:t>. Healthy Eating Index-2020: Review and Update Process to Reflect the Dietary Guidelines for Americans,</w:t>
      </w:r>
      <w:r>
        <w:rPr>
          <w:rFonts w:ascii="Times New Roman" w:hAnsi="Times New Roman" w:cs="Times New Roman" w:hint="eastAsia"/>
          <w:sz w:val="24"/>
          <w:szCs w:val="24"/>
        </w:rPr>
        <w:t xml:space="preserve"> </w:t>
      </w:r>
      <w:r w:rsidRPr="00E304FA">
        <w:rPr>
          <w:rFonts w:ascii="Times New Roman" w:hAnsi="Times New Roman" w:cs="Times New Roman"/>
          <w:sz w:val="24"/>
          <w:szCs w:val="24"/>
        </w:rPr>
        <w:t>2020-2025. J Acad Nutr Diet 2023;123(9):1280-1288. doi: 10.1016/j.jand.2023.05.015. PMID: 37201748</w:t>
      </w:r>
    </w:p>
    <w:p w:rsidR="00307205" w:rsidRPr="000B2BF3" w:rsidRDefault="00307205" w:rsidP="00307205">
      <w:pPr>
        <w:pStyle w:val="EndNoteBibliography"/>
        <w:spacing w:line="480" w:lineRule="auto"/>
        <w:rPr>
          <w:rFonts w:ascii="Times New Roman" w:hAnsi="Times New Roman" w:cs="Times New Roman"/>
          <w:sz w:val="24"/>
          <w:szCs w:val="24"/>
        </w:rPr>
      </w:pPr>
      <w:r w:rsidRPr="000B2BF3">
        <w:rPr>
          <w:rFonts w:ascii="Times New Roman" w:hAnsi="Times New Roman" w:cs="Times New Roman"/>
          <w:sz w:val="24"/>
          <w:szCs w:val="24"/>
        </w:rPr>
        <w:t>3.</w:t>
      </w:r>
      <w:r w:rsidRPr="000B2BF3">
        <w:rPr>
          <w:rFonts w:ascii="Times New Roman" w:hAnsi="Times New Roman" w:cs="Times New Roman"/>
          <w:sz w:val="24"/>
          <w:szCs w:val="24"/>
        </w:rPr>
        <w:tab/>
      </w:r>
      <w:r w:rsidRPr="00647226">
        <w:rPr>
          <w:rFonts w:ascii="Times New Roman" w:hAnsi="Times New Roman" w:cs="Times New Roman"/>
          <w:sz w:val="24"/>
          <w:szCs w:val="24"/>
        </w:rPr>
        <w:t xml:space="preserve">Wright ME, Mayne ST, Stolzenberg-Solomon RZ, Li Z, Pietinen P, Taylor PR, </w:t>
      </w:r>
      <w:r w:rsidRPr="00666664">
        <w:rPr>
          <w:rFonts w:ascii="Times New Roman" w:hAnsi="Times New Roman" w:cs="Times New Roman" w:hint="eastAsia"/>
          <w:i/>
          <w:iCs/>
          <w:sz w:val="24"/>
          <w:szCs w:val="24"/>
        </w:rPr>
        <w:t>et al</w:t>
      </w:r>
      <w:r w:rsidRPr="00647226">
        <w:rPr>
          <w:rFonts w:ascii="Times New Roman" w:hAnsi="Times New Roman" w:cs="Times New Roman"/>
          <w:sz w:val="24"/>
          <w:szCs w:val="24"/>
        </w:rPr>
        <w:t xml:space="preserve">. Development of a comprehensive dietary antioxidant index and application to lung </w:t>
      </w:r>
      <w:r w:rsidRPr="00647226">
        <w:rPr>
          <w:rFonts w:ascii="Times New Roman" w:hAnsi="Times New Roman" w:cs="Times New Roman"/>
          <w:sz w:val="24"/>
          <w:szCs w:val="24"/>
        </w:rPr>
        <w:lastRenderedPageBreak/>
        <w:t>cancer risk in a cohort of male smokers. Am J Epidemiol 2004;160(1):68-76. doi: 10.1093/aje/kwh173. PMID: 15229119.</w:t>
      </w:r>
    </w:p>
    <w:p w:rsidR="00E95717" w:rsidRDefault="00E95717"/>
    <w:sectPr w:rsidR="00E9571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FELayout/>
  </w:compat>
  <w:rsids>
    <w:rsidRoot w:val="00307205"/>
    <w:rsid w:val="00307205"/>
    <w:rsid w:val="00E95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0"/>
    <w:qFormat/>
    <w:rsid w:val="00307205"/>
    <w:pPr>
      <w:widowControl w:val="0"/>
      <w:spacing w:after="0" w:line="240" w:lineRule="auto"/>
    </w:pPr>
    <w:rPr>
      <w:rFonts w:ascii="Calibri" w:hAnsi="Calibri" w:cs="Calibri"/>
      <w:kern w:val="2"/>
      <w:sz w:val="20"/>
      <w:lang w:eastAsia="zh-CN"/>
    </w:rPr>
  </w:style>
  <w:style w:type="character" w:customStyle="1" w:styleId="EndNoteBibliography0">
    <w:name w:val="EndNote Bibliography 字符"/>
    <w:basedOn w:val="DefaultParagraphFont"/>
    <w:link w:val="EndNoteBibliography"/>
    <w:autoRedefine/>
    <w:qFormat/>
    <w:rsid w:val="00307205"/>
    <w:rPr>
      <w:rFonts w:ascii="Calibri" w:hAnsi="Calibri" w:cs="Calibri"/>
      <w:kern w:val="2"/>
      <w:sz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2024-09-26T07:54:00Z</dcterms:created>
  <dcterms:modified xsi:type="dcterms:W3CDTF">2024-09-26T07:54:00Z</dcterms:modified>
</cp:coreProperties>
</file>