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48E" w:rsidRPr="00284ACE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7C2A">
        <w:rPr>
          <w:rFonts w:ascii="Times New Roman" w:hAnsi="Times New Roman" w:cs="Times New Roman"/>
          <w:b/>
          <w:sz w:val="24"/>
          <w:szCs w:val="24"/>
        </w:rPr>
        <w:t>Supplementary Table 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C7C2A">
        <w:rPr>
          <w:rFonts w:ascii="Times New Roman" w:hAnsi="Times New Roman" w:cs="Times New Roman"/>
          <w:sz w:val="24"/>
          <w:szCs w:val="24"/>
        </w:rPr>
        <w:t xml:space="preserve"> </w:t>
      </w:r>
      <w:r w:rsidRPr="00284ACE">
        <w:rPr>
          <w:rFonts w:ascii="Times New Roman" w:hAnsi="Times New Roman" w:cs="Times New Roman"/>
          <w:b/>
          <w:bCs/>
          <w:sz w:val="24"/>
          <w:szCs w:val="24"/>
        </w:rPr>
        <w:t xml:space="preserve">Logistic regression univariate analyses on the matched cohort of hospitalizations with cirrhosis for predictors of in-hospital mortality* </w:t>
      </w:r>
    </w:p>
    <w:tbl>
      <w:tblPr>
        <w:tblStyle w:val="ListTable21"/>
        <w:tblW w:w="10684" w:type="dxa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/>
      </w:tblPr>
      <w:tblGrid>
        <w:gridCol w:w="5254"/>
        <w:gridCol w:w="2751"/>
        <w:gridCol w:w="2679"/>
      </w:tblGrid>
      <w:tr w:rsidR="000A048E" w:rsidRPr="00BC7C2A" w:rsidTr="00625995">
        <w:trPr>
          <w:cnfStyle w:val="100000000000"/>
          <w:trHeight w:val="290"/>
        </w:trPr>
        <w:tc>
          <w:tcPr>
            <w:cnfStyle w:val="001000000000"/>
            <w:tcW w:w="5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OR (95% CI)</w:t>
            </w:r>
          </w:p>
        </w:tc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1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tcBorders>
              <w:top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Age in years</w:t>
            </w:r>
          </w:p>
        </w:tc>
        <w:tc>
          <w:tcPr>
            <w:tcW w:w="2751" w:type="dxa"/>
            <w:tcBorders>
              <w:top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1.016 (1.011-1.022)</w:t>
            </w:r>
          </w:p>
        </w:tc>
        <w:tc>
          <w:tcPr>
            <w:tcW w:w="26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Female vs. Male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0.89 (0.78-1.03)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White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1.20 (0.96-1.51)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Black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0.86 (0.70-1.06)</w:t>
            </w:r>
          </w:p>
        </w:tc>
        <w:tc>
          <w:tcPr>
            <w:tcW w:w="2679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0.15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Hispanic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1.19 (0.95-1.49)</w:t>
            </w:r>
          </w:p>
        </w:tc>
        <w:tc>
          <w:tcPr>
            <w:tcW w:w="2679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AI/AN vs. Asian or other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0.94 (0.76-1.17)</w:t>
            </w:r>
          </w:p>
        </w:tc>
        <w:tc>
          <w:tcPr>
            <w:tcW w:w="2679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Medicaid vs. Medicare insurance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0.85 (0.72-1.00)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Pvt. or other vs. Medicare insurance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1.21 (1.00-1.45)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Rural vs. urban teaching hospital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0.98 (0.75-1.28)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0.87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Urban non-teaching vs. urban teaching hospital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1.17 (0.95-1.45)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1 vs. 4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1.06 (0.90-1.25)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0.50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2 vs. 4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0.80 (0.65-0.99)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0.049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Zip income Quartile 3 vs. 4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0.90 (0.66-1.23)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0.51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Alcohol-</w:t>
            </w:r>
            <w:r w:rsidRPr="00BB705E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associated</w:t>
            </w: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hepatitis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0.92 (0.77-1.09)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</w:tr>
      <w:tr w:rsidR="000A048E" w:rsidRPr="00BC7C2A" w:rsidTr="00625995">
        <w:trPr>
          <w:cnfStyle w:val="000000100000"/>
          <w:trHeight w:val="290"/>
        </w:trPr>
        <w:tc>
          <w:tcPr>
            <w:cnfStyle w:val="001000000000"/>
            <w:tcW w:w="5254" w:type="dxa"/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Alcohol-associated liver disease</w:t>
            </w:r>
          </w:p>
        </w:tc>
        <w:tc>
          <w:tcPr>
            <w:tcW w:w="2751" w:type="dxa"/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0.92 (0.80-1.06)</w:t>
            </w:r>
          </w:p>
        </w:tc>
        <w:tc>
          <w:tcPr>
            <w:tcW w:w="2679" w:type="dxa"/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0.23</w:t>
            </w:r>
          </w:p>
        </w:tc>
      </w:tr>
      <w:tr w:rsidR="000A048E" w:rsidRPr="00BC7C2A" w:rsidTr="00625995">
        <w:trPr>
          <w:trHeight w:val="290"/>
        </w:trPr>
        <w:tc>
          <w:tcPr>
            <w:cnfStyle w:val="001000000000"/>
            <w:tcW w:w="5254" w:type="dxa"/>
            <w:tcBorders>
              <w:bottom w:val="single" w:sz="4" w:space="0" w:color="auto"/>
            </w:tcBorders>
            <w:shd w:val="clear" w:color="auto" w:fill="auto"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Decompensated cirrhosis</w:t>
            </w:r>
          </w:p>
        </w:tc>
        <w:tc>
          <w:tcPr>
            <w:tcW w:w="275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2.80 (2.43-3.22)</w:t>
            </w:r>
          </w:p>
        </w:tc>
        <w:tc>
          <w:tcPr>
            <w:tcW w:w="2679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0A048E" w:rsidRPr="00BC7C2A" w:rsidRDefault="000A048E" w:rsidP="00625995">
            <w:pPr>
              <w:snapToGrid w:val="0"/>
              <w:spacing w:line="480" w:lineRule="auto"/>
              <w:jc w:val="both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C2A">
              <w:rPr>
                <w:rFonts w:ascii="Times New Roman" w:eastAsia="Times New Roman" w:hAnsi="Times New Roman" w:cs="Times New Roman"/>
                <w:sz w:val="24"/>
                <w:szCs w:val="24"/>
              </w:rPr>
              <w:t>&lt;0.001</w:t>
            </w:r>
          </w:p>
        </w:tc>
      </w:tr>
    </w:tbl>
    <w:p w:rsidR="000A048E" w:rsidRPr="00083943" w:rsidRDefault="000A048E" w:rsidP="000A048E">
      <w:pPr>
        <w:snapToGrid w:val="0"/>
        <w:spacing w:after="0" w:line="48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4ACE">
        <w:rPr>
          <w:rFonts w:ascii="Times New Roman" w:hAnsi="Times New Roman" w:cs="Times New Roman"/>
          <w:iCs/>
          <w:sz w:val="24"/>
          <w:szCs w:val="24"/>
        </w:rPr>
        <w:t xml:space="preserve">*Analysis for ALD etiology did not show any differences </w:t>
      </w:r>
      <w:r>
        <w:rPr>
          <w:rFonts w:ascii="Times New Roman" w:hAnsi="Times New Roman" w:cs="Times New Roman"/>
          <w:iCs/>
          <w:sz w:val="24"/>
          <w:szCs w:val="24"/>
        </w:rPr>
        <w:t>for</w:t>
      </w:r>
      <w:r w:rsidRPr="00284ACE">
        <w:rPr>
          <w:rFonts w:ascii="Times New Roman" w:hAnsi="Times New Roman" w:cs="Times New Roman"/>
          <w:iCs/>
          <w:sz w:val="24"/>
          <w:szCs w:val="24"/>
        </w:rPr>
        <w:t xml:space="preserve"> race with OR (95% CI) for AI/AAN vs.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284ACE">
        <w:rPr>
          <w:rFonts w:ascii="Times New Roman" w:hAnsi="Times New Roman" w:cs="Times New Roman"/>
          <w:iCs/>
          <w:sz w:val="24"/>
          <w:szCs w:val="24"/>
        </w:rPr>
        <w:t>lack race 0.79 (0.56-1.14). Other predictors being patient’s age, private or other insurance, decompensated ALD, and presence of AH.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83943">
        <w:rPr>
          <w:rFonts w:ascii="Times New Roman" w:hAnsi="Times New Roman" w:cs="Times New Roman"/>
          <w:iCs/>
          <w:sz w:val="24"/>
          <w:szCs w:val="24"/>
        </w:rPr>
        <w:t>OR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Odds ratio; CI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Confidence interval; AI/AN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083943">
        <w:rPr>
          <w:rFonts w:ascii="Times New Roman" w:hAnsi="Times New Roman" w:cs="Times New Roman"/>
          <w:iCs/>
          <w:sz w:val="24"/>
          <w:szCs w:val="24"/>
        </w:rPr>
        <w:t xml:space="preserve"> American Indian/Alaska Native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sectPr w:rsidR="000A048E" w:rsidRPr="00083943" w:rsidSect="003D4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0A048E"/>
    <w:rsid w:val="000A048E"/>
    <w:rsid w:val="003D4B73"/>
    <w:rsid w:val="00DB2E27"/>
    <w:rsid w:val="00FE45E0"/>
    <w:rsid w:val="00FE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E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21">
    <w:name w:val="List Table 21"/>
    <w:basedOn w:val="TableNormal"/>
    <w:uiPriority w:val="47"/>
    <w:rsid w:val="000A04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">
    <w:name w:val="List Table 6 Colorful"/>
    <w:basedOn w:val="TableNormal"/>
    <w:uiPriority w:val="51"/>
    <w:rsid w:val="000A048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0A048E"/>
    <w:pPr>
      <w:widowControl w:val="0"/>
      <w:autoSpaceDE w:val="0"/>
      <w:autoSpaceDN w:val="0"/>
      <w:adjustRightInd w:val="0"/>
      <w:spacing w:after="0" w:line="240" w:lineRule="auto"/>
      <w:ind w:left="100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0A048E"/>
    <w:rPr>
      <w:rFonts w:ascii="Arial" w:hAnsi="Arial" w:cs="Arial"/>
    </w:rPr>
  </w:style>
  <w:style w:type="paragraph" w:styleId="NoSpacing">
    <w:name w:val="No Spacing"/>
    <w:uiPriority w:val="1"/>
    <w:qFormat/>
    <w:rsid w:val="000A048E"/>
    <w:pPr>
      <w:spacing w:after="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4</cp:revision>
  <dcterms:created xsi:type="dcterms:W3CDTF">2021-12-08T06:41:00Z</dcterms:created>
  <dcterms:modified xsi:type="dcterms:W3CDTF">2021-12-08T07:05:00Z</dcterms:modified>
</cp:coreProperties>
</file>