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E" w:rsidRPr="00284ACE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C2A">
        <w:rPr>
          <w:rFonts w:ascii="Times New Roman" w:hAnsi="Times New Roman" w:cs="Times New Roman"/>
          <w:b/>
          <w:sz w:val="24"/>
          <w:szCs w:val="24"/>
        </w:rPr>
        <w:t>Supplementary Table 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 xml:space="preserve">Logistic regression analyses on hospitalizations with discharge diagnosis of cirrhosis who developed </w:t>
      </w:r>
      <w:r>
        <w:rPr>
          <w:rFonts w:ascii="Times New Roman" w:hAnsi="Times New Roman" w:cs="Times New Roman"/>
          <w:b/>
          <w:bCs/>
          <w:sz w:val="24"/>
          <w:szCs w:val="24"/>
        </w:rPr>
        <w:t>ACLF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 xml:space="preserve"> at or during hospitalization within the matched cohort for predictors of ALD or of AH as etiology of liver disease</w:t>
      </w:r>
    </w:p>
    <w:tbl>
      <w:tblPr>
        <w:tblStyle w:val="ListTable21"/>
        <w:tblW w:w="142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3546"/>
        <w:gridCol w:w="2514"/>
        <w:gridCol w:w="2817"/>
        <w:gridCol w:w="2514"/>
        <w:gridCol w:w="2817"/>
      </w:tblGrid>
      <w:tr w:rsidR="000A048E" w:rsidRPr="00BC7C2A" w:rsidTr="00625995">
        <w:trPr>
          <w:cnfStyle w:val="100000000000"/>
          <w:trHeight w:val="290"/>
        </w:trPr>
        <w:tc>
          <w:tcPr>
            <w:cnfStyle w:val="001000000000"/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Predictors of discharge diagnosis of ALD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Predictors of discharge diagnosis of AH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048E" w:rsidRPr="00284ACE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048E" w:rsidRPr="00284ACE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048E" w:rsidRPr="00284ACE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Age in years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0.96 (0.93-0.98)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0.95 (0.91-0.98)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Female vs. Male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0.43 (0.26-0.72)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&lt;0.002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0.34 (0.14-0.86)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Medicaid vs. Medicare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1.87 (0.99-3.52)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8.74 (1.79-43.0)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&lt;0.008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Pvt. vs. Medicare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2.05 (1.03-4.79)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9.0 (1.63-50.0)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White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1.33 (0.52-3.39)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1.07 (0.29-3.91)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Black</w:t>
            </w:r>
          </w:p>
        </w:tc>
        <w:tc>
          <w:tcPr>
            <w:tcW w:w="2514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1.29 (0.56-2.98)</w:t>
            </w:r>
          </w:p>
        </w:tc>
        <w:tc>
          <w:tcPr>
            <w:tcW w:w="2817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514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1.23 (0.32-4.71)</w:t>
            </w:r>
          </w:p>
        </w:tc>
        <w:tc>
          <w:tcPr>
            <w:tcW w:w="2817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Hispanic</w:t>
            </w:r>
          </w:p>
        </w:tc>
        <w:tc>
          <w:tcPr>
            <w:tcW w:w="2514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4.95 (2.11-11.6)</w:t>
            </w:r>
          </w:p>
        </w:tc>
        <w:tc>
          <w:tcPr>
            <w:tcW w:w="2817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2514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2.98 (0.69-12.5)</w:t>
            </w:r>
          </w:p>
        </w:tc>
        <w:tc>
          <w:tcPr>
            <w:tcW w:w="2817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Asian or other</w:t>
            </w:r>
          </w:p>
        </w:tc>
        <w:tc>
          <w:tcPr>
            <w:tcW w:w="2514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3.76 (1.98-9.00)</w:t>
            </w:r>
          </w:p>
        </w:tc>
        <w:tc>
          <w:tcPr>
            <w:tcW w:w="2817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2514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1.46 (0.39-5.45)</w:t>
            </w:r>
          </w:p>
        </w:tc>
        <w:tc>
          <w:tcPr>
            <w:tcW w:w="2817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Rural vs. Urban teaching hospital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0.65 (0.26-1.63)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0.99 (0.78-1.25)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Urban non-teaching vs. Urban teaching hospital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0.47 (0.23-0.93)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0.24 (0.05-1.12)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Zip income Quartile 1 vs. 4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0.42 (0.15-1.09)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1.90 (0.20-18.4)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546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Zip income Quartile 2 vs. 4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0.47 (0.16-1.39)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0.96 (0.09-10.2)</w:t>
            </w:r>
          </w:p>
        </w:tc>
        <w:tc>
          <w:tcPr>
            <w:tcW w:w="2817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Zip income Quartile 3 vs. 4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0.69 (0.22-2.16)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1.79 (0.17-18.8)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</w:tr>
    </w:tbl>
    <w:p w:rsidR="000A048E" w:rsidRPr="00083943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943">
        <w:rPr>
          <w:rFonts w:ascii="Times New Roman" w:hAnsi="Times New Roman" w:cs="Times New Roman"/>
          <w:iCs/>
          <w:sz w:val="24"/>
          <w:szCs w:val="24"/>
        </w:rPr>
        <w:t>OR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Odds ratio; CI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Confidence interval; AI/AN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American Indian/Alaska Native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0A048E" w:rsidRPr="00083943" w:rsidSect="00E413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0A048E"/>
    <w:rsid w:val="000A048E"/>
    <w:rsid w:val="003F2972"/>
    <w:rsid w:val="005C4A14"/>
    <w:rsid w:val="008B10FF"/>
    <w:rsid w:val="00E23275"/>
    <w:rsid w:val="00E4138F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0A0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0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0A048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048E"/>
    <w:rPr>
      <w:rFonts w:ascii="Arial" w:hAnsi="Arial" w:cs="Arial"/>
    </w:rPr>
  </w:style>
  <w:style w:type="paragraph" w:styleId="NoSpacing">
    <w:name w:val="No Spacing"/>
    <w:uiPriority w:val="1"/>
    <w:qFormat/>
    <w:rsid w:val="000A048E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2021-12-08T06:41:00Z</dcterms:created>
  <dcterms:modified xsi:type="dcterms:W3CDTF">2021-12-08T07:06:00Z</dcterms:modified>
</cp:coreProperties>
</file>