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93" w:rsidRPr="0053433D" w:rsidRDefault="00F85893" w:rsidP="00F85893">
      <w:pPr>
        <w:pStyle w:val="Tableheading"/>
        <w:spacing w:line="480" w:lineRule="auto"/>
        <w:jc w:val="both"/>
        <w:rPr>
          <w:sz w:val="24"/>
          <w:szCs w:val="24"/>
          <w:lang w:eastAsia="zh-CN"/>
        </w:rPr>
      </w:pPr>
      <w:r w:rsidRPr="0053433D">
        <w:rPr>
          <w:sz w:val="24"/>
          <w:szCs w:val="24"/>
        </w:rPr>
        <w:t>Supplementa</w:t>
      </w:r>
      <w:r>
        <w:rPr>
          <w:b w:val="0"/>
          <w:bCs w:val="0"/>
          <w:sz w:val="24"/>
          <w:szCs w:val="24"/>
          <w:lang w:eastAsia="zh-CN"/>
        </w:rPr>
        <w:t>ry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Table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2.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Efficacy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outcomes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at</w:t>
      </w:r>
      <w:r>
        <w:rPr>
          <w:sz w:val="24"/>
          <w:szCs w:val="24"/>
          <w:lang w:eastAsia="zh-CN"/>
        </w:rPr>
        <w:t xml:space="preserve"> y</w:t>
      </w:r>
      <w:r w:rsidRPr="0053433D">
        <w:rPr>
          <w:sz w:val="24"/>
          <w:szCs w:val="24"/>
          <w:lang w:eastAsia="zh-CN"/>
        </w:rPr>
        <w:t>ear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5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(</w:t>
      </w:r>
      <w:r>
        <w:rPr>
          <w:sz w:val="24"/>
          <w:szCs w:val="24"/>
          <w:lang w:eastAsia="zh-CN"/>
        </w:rPr>
        <w:t>w</w:t>
      </w:r>
      <w:r w:rsidRPr="0053433D">
        <w:rPr>
          <w:sz w:val="24"/>
          <w:szCs w:val="24"/>
          <w:lang w:eastAsia="zh-CN"/>
        </w:rPr>
        <w:t>eek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240)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among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HBeAg-positive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(</w:t>
      </w:r>
      <w:r>
        <w:rPr>
          <w:sz w:val="24"/>
          <w:szCs w:val="24"/>
          <w:lang w:eastAsia="zh-CN"/>
        </w:rPr>
        <w:t>s</w:t>
      </w:r>
      <w:r w:rsidRPr="0053433D">
        <w:rPr>
          <w:sz w:val="24"/>
          <w:szCs w:val="24"/>
          <w:lang w:eastAsia="zh-CN"/>
        </w:rPr>
        <w:t>tudy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110)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and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HBeAg-negative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(</w:t>
      </w:r>
      <w:r>
        <w:rPr>
          <w:sz w:val="24"/>
          <w:szCs w:val="24"/>
          <w:lang w:eastAsia="zh-CN"/>
        </w:rPr>
        <w:t>s</w:t>
      </w:r>
      <w:r w:rsidRPr="0053433D">
        <w:rPr>
          <w:sz w:val="24"/>
          <w:szCs w:val="24"/>
          <w:lang w:eastAsia="zh-CN"/>
        </w:rPr>
        <w:t>tudy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108)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participants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(OL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FAS)</w:t>
      </w:r>
    </w:p>
    <w:tbl>
      <w:tblPr>
        <w:tblStyle w:val="TableGrid1"/>
        <w:tblW w:w="0" w:type="auto"/>
        <w:jc w:val="center"/>
        <w:tblLayout w:type="fixed"/>
        <w:tblLook w:val="04A0"/>
      </w:tblPr>
      <w:tblGrid>
        <w:gridCol w:w="1770"/>
        <w:gridCol w:w="1105"/>
        <w:gridCol w:w="1080"/>
        <w:gridCol w:w="1605"/>
        <w:gridCol w:w="1095"/>
        <w:gridCol w:w="1080"/>
        <w:gridCol w:w="1615"/>
      </w:tblGrid>
      <w:tr w:rsidR="00F85893" w:rsidRPr="00676FC9" w:rsidTr="00536BCB">
        <w:trPr>
          <w:trHeight w:val="440"/>
          <w:jc w:val="center"/>
        </w:trPr>
        <w:tc>
          <w:tcPr>
            <w:tcW w:w="1770" w:type="dxa"/>
            <w:vAlign w:val="center"/>
          </w:tcPr>
          <w:p w:rsidR="00F85893" w:rsidRPr="0053433D" w:rsidRDefault="00F85893" w:rsidP="00536BC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Efficacy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zh-CN"/>
              </w:rPr>
              <w:t>e</w:t>
            </w:r>
            <w:r w:rsidRPr="007F13FB">
              <w:rPr>
                <w:b/>
                <w:bCs/>
                <w:sz w:val="24"/>
                <w:szCs w:val="24"/>
              </w:rPr>
              <w:t>ndpoints</w:t>
            </w:r>
          </w:p>
        </w:tc>
        <w:tc>
          <w:tcPr>
            <w:tcW w:w="3790" w:type="dxa"/>
            <w:gridSpan w:val="3"/>
            <w:vAlign w:val="center"/>
          </w:tcPr>
          <w:p w:rsidR="00F85893" w:rsidRPr="0053433D" w:rsidRDefault="00F85893" w:rsidP="00536BCB">
            <w:pPr>
              <w:jc w:val="both"/>
              <w:rPr>
                <w:b/>
                <w:bCs/>
                <w:sz w:val="24"/>
                <w:szCs w:val="24"/>
              </w:rPr>
            </w:pPr>
            <w:r w:rsidRPr="0053433D">
              <w:rPr>
                <w:b/>
                <w:bCs/>
                <w:sz w:val="24"/>
                <w:szCs w:val="24"/>
              </w:rPr>
              <w:t>HBeAg-positive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</w:rPr>
              <w:t>participants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</w:rPr>
              <w:t>(study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</w:rPr>
              <w:t>110)</w:t>
            </w:r>
          </w:p>
        </w:tc>
        <w:tc>
          <w:tcPr>
            <w:tcW w:w="3790" w:type="dxa"/>
            <w:gridSpan w:val="3"/>
            <w:vAlign w:val="center"/>
          </w:tcPr>
          <w:p w:rsidR="00F85893" w:rsidRPr="0053433D" w:rsidRDefault="00F85893" w:rsidP="00536BCB">
            <w:pPr>
              <w:jc w:val="both"/>
              <w:rPr>
                <w:b/>
                <w:bCs/>
                <w:sz w:val="24"/>
                <w:szCs w:val="24"/>
              </w:rPr>
            </w:pPr>
            <w:r w:rsidRPr="0053433D">
              <w:rPr>
                <w:b/>
                <w:bCs/>
                <w:sz w:val="24"/>
                <w:szCs w:val="24"/>
              </w:rPr>
              <w:t>HBeAg-negative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</w:rPr>
              <w:t>participants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</w:rPr>
              <w:t>(study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</w:rPr>
              <w:t>108)</w:t>
            </w:r>
          </w:p>
        </w:tc>
      </w:tr>
      <w:tr w:rsidR="00F85893" w:rsidRPr="00676FC9" w:rsidTr="00536BCB">
        <w:trPr>
          <w:jc w:val="center"/>
        </w:trPr>
        <w:tc>
          <w:tcPr>
            <w:tcW w:w="1770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n/N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n/n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(%</w:t>
            </w:r>
          </w:p>
        </w:tc>
        <w:tc>
          <w:tcPr>
            <w:tcW w:w="1105" w:type="dxa"/>
            <w:vAlign w:val="center"/>
          </w:tcPr>
          <w:p w:rsidR="00F85893" w:rsidRPr="0053433D" w:rsidRDefault="00F85893" w:rsidP="00536BCB">
            <w:pPr>
              <w:jc w:val="both"/>
              <w:rPr>
                <w:b/>
                <w:bCs/>
                <w:sz w:val="24"/>
                <w:szCs w:val="24"/>
              </w:rPr>
            </w:pPr>
            <w:r w:rsidRPr="0053433D">
              <w:rPr>
                <w:b/>
                <w:bCs/>
                <w:sz w:val="24"/>
                <w:szCs w:val="24"/>
              </w:rPr>
              <w:t>TAF-TAF</w:t>
            </w:r>
          </w:p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b/>
                <w:bCs/>
                <w:sz w:val="24"/>
                <w:szCs w:val="24"/>
              </w:rPr>
              <w:t>(</w:t>
            </w:r>
            <w:r w:rsidRPr="0053433D">
              <w:rPr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</w:rPr>
              <w:t>=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</w:rPr>
              <w:t>133)</w:t>
            </w:r>
          </w:p>
        </w:tc>
        <w:tc>
          <w:tcPr>
            <w:tcW w:w="1080" w:type="dxa"/>
            <w:vAlign w:val="center"/>
          </w:tcPr>
          <w:p w:rsidR="00F85893" w:rsidRPr="0053433D" w:rsidRDefault="00F85893" w:rsidP="00536BCB">
            <w:pPr>
              <w:jc w:val="both"/>
              <w:rPr>
                <w:b/>
                <w:bCs/>
                <w:sz w:val="24"/>
                <w:szCs w:val="24"/>
              </w:rPr>
            </w:pPr>
            <w:r w:rsidRPr="0053433D">
              <w:rPr>
                <w:b/>
                <w:bCs/>
                <w:sz w:val="24"/>
                <w:szCs w:val="24"/>
              </w:rPr>
              <w:t>TDF-TAF</w:t>
            </w:r>
          </w:p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b/>
                <w:bCs/>
                <w:sz w:val="24"/>
                <w:szCs w:val="24"/>
              </w:rPr>
              <w:t>(</w:t>
            </w:r>
            <w:r w:rsidRPr="00BF37E2">
              <w:rPr>
                <w:b/>
                <w:bCs/>
                <w:i/>
                <w:iCs/>
                <w:sz w:val="24"/>
                <w:szCs w:val="24"/>
              </w:rPr>
              <w:t>n</w:t>
            </w:r>
            <w:r w:rsidRPr="0053433D">
              <w:rPr>
                <w:b/>
                <w:bCs/>
                <w:sz w:val="24"/>
                <w:szCs w:val="24"/>
              </w:rPr>
              <w:t>=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</w:rPr>
              <w:t>52)</w:t>
            </w:r>
          </w:p>
        </w:tc>
        <w:tc>
          <w:tcPr>
            <w:tcW w:w="1605" w:type="dxa"/>
          </w:tcPr>
          <w:p w:rsidR="00F85893" w:rsidRPr="0053433D" w:rsidRDefault="00F85893" w:rsidP="00536BCB">
            <w:pPr>
              <w:jc w:val="both"/>
              <w:rPr>
                <w:b/>
                <w:bCs/>
                <w:sz w:val="24"/>
                <w:szCs w:val="24"/>
              </w:rPr>
            </w:pPr>
            <w:r w:rsidRPr="0053433D">
              <w:rPr>
                <w:b/>
                <w:bCs/>
                <w:sz w:val="24"/>
                <w:szCs w:val="24"/>
              </w:rPr>
              <w:t>Proportional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</w:rPr>
              <w:t>difference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</w:rPr>
              <w:t>(95%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</w:rPr>
              <w:t>CI)</w:t>
            </w:r>
          </w:p>
        </w:tc>
        <w:tc>
          <w:tcPr>
            <w:tcW w:w="1095" w:type="dxa"/>
            <w:vAlign w:val="center"/>
          </w:tcPr>
          <w:p w:rsidR="00F85893" w:rsidRPr="0053433D" w:rsidRDefault="00F85893" w:rsidP="00536BCB">
            <w:pPr>
              <w:jc w:val="both"/>
              <w:rPr>
                <w:b/>
                <w:bCs/>
                <w:sz w:val="24"/>
                <w:szCs w:val="24"/>
              </w:rPr>
            </w:pPr>
            <w:r w:rsidRPr="0053433D">
              <w:rPr>
                <w:b/>
                <w:bCs/>
                <w:sz w:val="24"/>
                <w:szCs w:val="24"/>
              </w:rPr>
              <w:t>TAF-TAF</w:t>
            </w:r>
          </w:p>
          <w:p w:rsidR="00F85893" w:rsidRPr="0053433D" w:rsidRDefault="00F85893" w:rsidP="00536BCB">
            <w:pPr>
              <w:jc w:val="both"/>
              <w:rPr>
                <w:b/>
                <w:bCs/>
                <w:sz w:val="24"/>
                <w:szCs w:val="24"/>
              </w:rPr>
            </w:pPr>
            <w:r w:rsidRPr="0053433D">
              <w:rPr>
                <w:b/>
                <w:bCs/>
                <w:sz w:val="24"/>
                <w:szCs w:val="24"/>
              </w:rPr>
              <w:t>(</w:t>
            </w:r>
            <w:r w:rsidRPr="00BF37E2">
              <w:rPr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</w:rPr>
              <w:t>=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</w:rPr>
              <w:t>99)</w:t>
            </w:r>
          </w:p>
        </w:tc>
        <w:tc>
          <w:tcPr>
            <w:tcW w:w="1080" w:type="dxa"/>
            <w:vAlign w:val="center"/>
          </w:tcPr>
          <w:p w:rsidR="00F85893" w:rsidRPr="0053433D" w:rsidRDefault="00F85893" w:rsidP="00536BCB">
            <w:pPr>
              <w:jc w:val="both"/>
              <w:rPr>
                <w:b/>
                <w:bCs/>
                <w:sz w:val="24"/>
                <w:szCs w:val="24"/>
              </w:rPr>
            </w:pPr>
            <w:r w:rsidRPr="0053433D">
              <w:rPr>
                <w:b/>
                <w:bCs/>
                <w:sz w:val="24"/>
                <w:szCs w:val="24"/>
              </w:rPr>
              <w:t>TDF-TAF</w:t>
            </w:r>
          </w:p>
          <w:p w:rsidR="00F85893" w:rsidRPr="0053433D" w:rsidRDefault="00F85893" w:rsidP="00536BCB">
            <w:pPr>
              <w:jc w:val="both"/>
              <w:rPr>
                <w:b/>
                <w:bCs/>
                <w:sz w:val="24"/>
                <w:szCs w:val="24"/>
              </w:rPr>
            </w:pPr>
            <w:r w:rsidRPr="0053433D">
              <w:rPr>
                <w:b/>
                <w:bCs/>
                <w:sz w:val="24"/>
                <w:szCs w:val="24"/>
              </w:rPr>
              <w:t>(</w:t>
            </w:r>
            <w:r w:rsidRPr="00BF37E2">
              <w:rPr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</w:rPr>
              <w:t>=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</w:rPr>
              <w:t>47)</w:t>
            </w:r>
          </w:p>
        </w:tc>
        <w:tc>
          <w:tcPr>
            <w:tcW w:w="1615" w:type="dxa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b/>
                <w:bCs/>
                <w:sz w:val="24"/>
                <w:szCs w:val="24"/>
              </w:rPr>
              <w:t>Proportional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</w:rPr>
              <w:t>difference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</w:rPr>
              <w:t>(95%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</w:rPr>
              <w:t>CI)</w:t>
            </w:r>
          </w:p>
        </w:tc>
      </w:tr>
      <w:tr w:rsidR="00F85893" w:rsidRPr="00676FC9" w:rsidTr="00536BCB">
        <w:trPr>
          <w:jc w:val="center"/>
        </w:trPr>
        <w:tc>
          <w:tcPr>
            <w:tcW w:w="1770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HBV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DNA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&lt;2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IU/mL</w:t>
            </w:r>
          </w:p>
        </w:tc>
        <w:tc>
          <w:tcPr>
            <w:tcW w:w="1105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103/113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(91.2)</w:t>
            </w:r>
          </w:p>
        </w:tc>
        <w:tc>
          <w:tcPr>
            <w:tcW w:w="1080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47/52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br/>
              <w:t>(90.4)</w:t>
            </w:r>
          </w:p>
        </w:tc>
        <w:tc>
          <w:tcPr>
            <w:tcW w:w="1605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0.3%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br/>
              <w:t>(-8.8%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–9.3%)</w:t>
            </w:r>
          </w:p>
        </w:tc>
        <w:tc>
          <w:tcPr>
            <w:tcW w:w="1095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  <w:lang w:eastAsia="zh-CN"/>
              </w:rPr>
            </w:pPr>
            <w:r w:rsidRPr="0053433D">
              <w:rPr>
                <w:sz w:val="24"/>
                <w:szCs w:val="24"/>
              </w:rPr>
              <w:t>95</w:t>
            </w:r>
            <w:r w:rsidRPr="0053433D">
              <w:rPr>
                <w:sz w:val="24"/>
                <w:szCs w:val="24"/>
                <w:lang w:eastAsia="zh-CN"/>
              </w:rPr>
              <w:t>/99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53433D">
              <w:rPr>
                <w:sz w:val="24"/>
                <w:szCs w:val="24"/>
                <w:lang w:eastAsia="zh-CN"/>
              </w:rPr>
              <w:br/>
              <w:t>(96.0)</w:t>
            </w:r>
          </w:p>
        </w:tc>
        <w:tc>
          <w:tcPr>
            <w:tcW w:w="1080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46/47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br/>
              <w:t>(97.9)</w:t>
            </w:r>
          </w:p>
        </w:tc>
        <w:tc>
          <w:tcPr>
            <w:tcW w:w="1615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-3.8%</w:t>
            </w:r>
          </w:p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(-9.3%–1.6%)</w:t>
            </w:r>
          </w:p>
        </w:tc>
      </w:tr>
      <w:tr w:rsidR="00F85893" w:rsidRPr="00676FC9" w:rsidTr="00536BCB">
        <w:trPr>
          <w:jc w:val="center"/>
        </w:trPr>
        <w:tc>
          <w:tcPr>
            <w:tcW w:w="1770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HBeAg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loss</w:t>
            </w:r>
            <w:r w:rsidRPr="0053433D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05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44/108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(40.7)</w:t>
            </w:r>
          </w:p>
        </w:tc>
        <w:tc>
          <w:tcPr>
            <w:tcW w:w="1080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17/52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br/>
              <w:t>(32.7)</w:t>
            </w:r>
          </w:p>
        </w:tc>
        <w:tc>
          <w:tcPr>
            <w:tcW w:w="1605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ND</w:t>
            </w:r>
          </w:p>
        </w:tc>
        <w:tc>
          <w:tcPr>
            <w:tcW w:w="1095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-</w:t>
            </w:r>
          </w:p>
        </w:tc>
        <w:tc>
          <w:tcPr>
            <w:tcW w:w="1615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-</w:t>
            </w:r>
          </w:p>
        </w:tc>
      </w:tr>
      <w:tr w:rsidR="00F85893" w:rsidRPr="00676FC9" w:rsidTr="00536BCB">
        <w:trPr>
          <w:jc w:val="center"/>
        </w:trPr>
        <w:tc>
          <w:tcPr>
            <w:tcW w:w="1770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HBeAg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seroconversion</w:t>
            </w:r>
            <w:r w:rsidRPr="0053433D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05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28/108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(25.9)</w:t>
            </w:r>
          </w:p>
        </w:tc>
        <w:tc>
          <w:tcPr>
            <w:tcW w:w="1080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11/52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br/>
              <w:t>(21.2)</w:t>
            </w:r>
          </w:p>
        </w:tc>
        <w:tc>
          <w:tcPr>
            <w:tcW w:w="1605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ND</w:t>
            </w:r>
          </w:p>
        </w:tc>
        <w:tc>
          <w:tcPr>
            <w:tcW w:w="1095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-</w:t>
            </w:r>
          </w:p>
        </w:tc>
        <w:tc>
          <w:tcPr>
            <w:tcW w:w="1615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-</w:t>
            </w:r>
          </w:p>
        </w:tc>
      </w:tr>
      <w:tr w:rsidR="00F85893" w:rsidRPr="00676FC9" w:rsidTr="00536BCB">
        <w:trPr>
          <w:jc w:val="center"/>
        </w:trPr>
        <w:tc>
          <w:tcPr>
            <w:tcW w:w="1770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HBsAg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loss</w:t>
            </w:r>
            <w:r w:rsidRPr="0053433D">
              <w:rPr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105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5/113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br/>
              <w:t>(4.4)</w:t>
            </w:r>
          </w:p>
        </w:tc>
        <w:tc>
          <w:tcPr>
            <w:tcW w:w="1080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0/52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br/>
              <w:t>(0)</w:t>
            </w:r>
          </w:p>
        </w:tc>
        <w:tc>
          <w:tcPr>
            <w:tcW w:w="1605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ND</w:t>
            </w:r>
          </w:p>
        </w:tc>
        <w:tc>
          <w:tcPr>
            <w:tcW w:w="1095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3/99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br/>
              <w:t>(3.0)</w:t>
            </w:r>
          </w:p>
        </w:tc>
        <w:tc>
          <w:tcPr>
            <w:tcW w:w="1080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0/47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br/>
              <w:t>(0)</w:t>
            </w:r>
          </w:p>
        </w:tc>
        <w:tc>
          <w:tcPr>
            <w:tcW w:w="1615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ND</w:t>
            </w:r>
          </w:p>
        </w:tc>
      </w:tr>
      <w:tr w:rsidR="00F85893" w:rsidRPr="00676FC9" w:rsidTr="00536BCB">
        <w:trPr>
          <w:jc w:val="center"/>
        </w:trPr>
        <w:tc>
          <w:tcPr>
            <w:tcW w:w="1770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HBsAg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seroconversion</w:t>
            </w:r>
            <w:r w:rsidRPr="0053433D">
              <w:rPr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105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3/113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br/>
              <w:t>(2.7)</w:t>
            </w:r>
          </w:p>
        </w:tc>
        <w:tc>
          <w:tcPr>
            <w:tcW w:w="1080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0/52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br/>
              <w:t>(0)</w:t>
            </w:r>
          </w:p>
        </w:tc>
        <w:tc>
          <w:tcPr>
            <w:tcW w:w="1605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ND</w:t>
            </w:r>
          </w:p>
        </w:tc>
        <w:tc>
          <w:tcPr>
            <w:tcW w:w="1095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1/99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br/>
              <w:t>(1.0)</w:t>
            </w:r>
          </w:p>
        </w:tc>
        <w:tc>
          <w:tcPr>
            <w:tcW w:w="1080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0/47</w:t>
            </w:r>
            <w:r w:rsidRPr="0053433D">
              <w:rPr>
                <w:sz w:val="24"/>
                <w:szCs w:val="24"/>
              </w:rPr>
              <w:br/>
              <w:t>(0)</w:t>
            </w:r>
          </w:p>
        </w:tc>
        <w:tc>
          <w:tcPr>
            <w:tcW w:w="1615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ND</w:t>
            </w:r>
          </w:p>
        </w:tc>
      </w:tr>
      <w:tr w:rsidR="00F85893" w:rsidRPr="00676FC9" w:rsidTr="00536BCB">
        <w:trPr>
          <w:jc w:val="center"/>
        </w:trPr>
        <w:tc>
          <w:tcPr>
            <w:tcW w:w="1770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Mean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change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HBsAg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from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baseline,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log</w:t>
            </w:r>
            <w:r w:rsidRPr="0053433D">
              <w:rPr>
                <w:sz w:val="24"/>
                <w:szCs w:val="24"/>
                <w:vertAlign w:val="subscript"/>
              </w:rPr>
              <w:t>10</w:t>
            </w:r>
            <w:r w:rsidRPr="0053433D">
              <w:rPr>
                <w:sz w:val="24"/>
                <w:szCs w:val="24"/>
              </w:rPr>
              <w:t>IU/mL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(SD)</w:t>
            </w:r>
          </w:p>
        </w:tc>
        <w:tc>
          <w:tcPr>
            <w:tcW w:w="1105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-0.85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(1.230)</w:t>
            </w:r>
          </w:p>
        </w:tc>
        <w:tc>
          <w:tcPr>
            <w:tcW w:w="1080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-0.76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(1.042)</w:t>
            </w:r>
          </w:p>
        </w:tc>
        <w:tc>
          <w:tcPr>
            <w:tcW w:w="1605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ND</w:t>
            </w:r>
          </w:p>
        </w:tc>
        <w:tc>
          <w:tcPr>
            <w:tcW w:w="1095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-0.58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(0.904)</w:t>
            </w:r>
          </w:p>
        </w:tc>
        <w:tc>
          <w:tcPr>
            <w:tcW w:w="1080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-0.28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(0.591)</w:t>
            </w:r>
          </w:p>
        </w:tc>
        <w:tc>
          <w:tcPr>
            <w:tcW w:w="1615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ND</w:t>
            </w:r>
          </w:p>
        </w:tc>
      </w:tr>
      <w:tr w:rsidR="00F85893" w:rsidRPr="00676FC9" w:rsidTr="00536BCB">
        <w:trPr>
          <w:jc w:val="center"/>
        </w:trPr>
        <w:tc>
          <w:tcPr>
            <w:tcW w:w="1770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ALT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normalization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by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China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criteria</w:t>
            </w:r>
            <w:r w:rsidRPr="0053433D">
              <w:rPr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105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82/97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(84.5)</w:t>
            </w:r>
          </w:p>
        </w:tc>
        <w:tc>
          <w:tcPr>
            <w:tcW w:w="1080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39/49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(79.6)</w:t>
            </w:r>
          </w:p>
        </w:tc>
        <w:tc>
          <w:tcPr>
            <w:tcW w:w="1605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5.1%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br/>
              <w:t>(-9.3–19.4%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)</w:t>
            </w:r>
          </w:p>
        </w:tc>
        <w:tc>
          <w:tcPr>
            <w:tcW w:w="1095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73/82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(89.0)</w:t>
            </w:r>
          </w:p>
        </w:tc>
        <w:tc>
          <w:tcPr>
            <w:tcW w:w="1080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27/33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(81.8)</w:t>
            </w:r>
          </w:p>
        </w:tc>
        <w:tc>
          <w:tcPr>
            <w:tcW w:w="1615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6.8%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br/>
              <w:t>(-9.9%–23.5%)</w:t>
            </w:r>
          </w:p>
        </w:tc>
      </w:tr>
      <w:tr w:rsidR="00F85893" w:rsidRPr="00676FC9" w:rsidTr="00536BCB">
        <w:trPr>
          <w:jc w:val="center"/>
        </w:trPr>
        <w:tc>
          <w:tcPr>
            <w:tcW w:w="1770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ALT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normalization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by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AASLD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criteria</w:t>
            </w:r>
            <w:r w:rsidRPr="0053433D">
              <w:rPr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1105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82/104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(78.8)</w:t>
            </w:r>
          </w:p>
        </w:tc>
        <w:tc>
          <w:tcPr>
            <w:tcW w:w="1080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40/50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(80.0)</w:t>
            </w:r>
          </w:p>
        </w:tc>
        <w:tc>
          <w:tcPr>
            <w:tcW w:w="1605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1.1%</w:t>
            </w:r>
          </w:p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(-15.5%–13.4%)</w:t>
            </w:r>
          </w:p>
        </w:tc>
        <w:tc>
          <w:tcPr>
            <w:tcW w:w="1095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72/87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(82.8)</w:t>
            </w:r>
          </w:p>
        </w:tc>
        <w:tc>
          <w:tcPr>
            <w:tcW w:w="1080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28/38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(73.7)</w:t>
            </w:r>
          </w:p>
        </w:tc>
        <w:tc>
          <w:tcPr>
            <w:tcW w:w="1615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8.2%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br/>
              <w:t>(-9.0%–25.4%)</w:t>
            </w:r>
          </w:p>
        </w:tc>
      </w:tr>
      <w:tr w:rsidR="00F85893" w:rsidRPr="00676FC9" w:rsidTr="00536BCB">
        <w:trPr>
          <w:jc w:val="center"/>
        </w:trPr>
        <w:tc>
          <w:tcPr>
            <w:tcW w:w="1770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Mean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FibroTest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score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change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from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baseline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(SD)</w:t>
            </w:r>
          </w:p>
        </w:tc>
        <w:tc>
          <w:tcPr>
            <w:tcW w:w="1105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-0.09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rFonts w:hint="eastAsia"/>
                <w:sz w:val="24"/>
                <w:szCs w:val="24"/>
                <w:lang w:eastAsia="zh-CN"/>
              </w:rPr>
              <w:t>（</w:t>
            </w:r>
            <w:r w:rsidRPr="0053433D">
              <w:rPr>
                <w:sz w:val="24"/>
                <w:szCs w:val="24"/>
                <w:lang w:eastAsia="zh-CN"/>
              </w:rPr>
              <w:t>0.147</w:t>
            </w:r>
            <w:r w:rsidRPr="0053433D"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80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-0.12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rFonts w:hint="eastAsia"/>
                <w:sz w:val="24"/>
                <w:szCs w:val="24"/>
                <w:lang w:eastAsia="zh-CN"/>
              </w:rPr>
              <w:t>（</w:t>
            </w:r>
            <w:r w:rsidRPr="0053433D">
              <w:rPr>
                <w:sz w:val="24"/>
                <w:szCs w:val="24"/>
                <w:lang w:eastAsia="zh-CN"/>
              </w:rPr>
              <w:t>0.196</w:t>
            </w:r>
            <w:r w:rsidRPr="0053433D"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05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  <w:lang w:eastAsia="zh-CN"/>
              </w:rPr>
            </w:pPr>
            <w:r w:rsidRPr="0053433D">
              <w:rPr>
                <w:sz w:val="24"/>
                <w:szCs w:val="24"/>
                <w:lang w:eastAsia="zh-CN"/>
              </w:rPr>
              <w:t>ND</w:t>
            </w:r>
          </w:p>
        </w:tc>
        <w:tc>
          <w:tcPr>
            <w:tcW w:w="1095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-0.05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(0.147)</w:t>
            </w:r>
          </w:p>
        </w:tc>
        <w:tc>
          <w:tcPr>
            <w:tcW w:w="1080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-0.08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(0.163)</w:t>
            </w:r>
          </w:p>
        </w:tc>
        <w:tc>
          <w:tcPr>
            <w:tcW w:w="1615" w:type="dxa"/>
            <w:vAlign w:val="center"/>
          </w:tcPr>
          <w:p w:rsidR="00F85893" w:rsidRPr="0053433D" w:rsidRDefault="00F85893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ND</w:t>
            </w:r>
          </w:p>
        </w:tc>
      </w:tr>
    </w:tbl>
    <w:p w:rsidR="00F85893" w:rsidRPr="0053433D" w:rsidRDefault="00F85893" w:rsidP="00F85893">
      <w:pPr>
        <w:spacing w:after="0"/>
        <w:jc w:val="both"/>
        <w:rPr>
          <w:sz w:val="24"/>
          <w:szCs w:val="24"/>
        </w:rPr>
      </w:pPr>
      <w:r w:rsidRPr="0053433D">
        <w:rPr>
          <w:sz w:val="24"/>
          <w:szCs w:val="24"/>
          <w:vertAlign w:val="superscript"/>
        </w:rPr>
        <w:t>*</w:t>
      </w:r>
      <w:r w:rsidRPr="0053433D">
        <w:rPr>
          <w:sz w:val="24"/>
          <w:szCs w:val="24"/>
        </w:rPr>
        <w:t>Among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patients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who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were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seropositive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HBeAg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and</w:t>
      </w:r>
      <w:r>
        <w:rPr>
          <w:sz w:val="24"/>
          <w:szCs w:val="24"/>
        </w:rPr>
        <w:t xml:space="preserve"> sero</w:t>
      </w:r>
      <w:r w:rsidRPr="0053433D">
        <w:rPr>
          <w:sz w:val="24"/>
          <w:szCs w:val="24"/>
        </w:rPr>
        <w:t>negative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anti-HBe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baseline;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  <w:vertAlign w:val="superscript"/>
        </w:rPr>
        <w:t>†</w:t>
      </w:r>
      <w:r w:rsidRPr="0053433D">
        <w:rPr>
          <w:sz w:val="24"/>
          <w:szCs w:val="24"/>
        </w:rPr>
        <w:t>Among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patients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who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were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seropositive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HBsAg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and</w:t>
      </w:r>
      <w:r>
        <w:rPr>
          <w:sz w:val="24"/>
          <w:szCs w:val="24"/>
        </w:rPr>
        <w:t xml:space="preserve"> sero</w:t>
      </w:r>
      <w:r w:rsidRPr="0053433D">
        <w:rPr>
          <w:sz w:val="24"/>
          <w:szCs w:val="24"/>
        </w:rPr>
        <w:t>negative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anti-HBs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baseline;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  <w:vertAlign w:val="superscript"/>
        </w:rPr>
        <w:t>‡</w:t>
      </w:r>
      <w:r w:rsidRPr="0053433D">
        <w:rPr>
          <w:sz w:val="24"/>
          <w:szCs w:val="24"/>
        </w:rPr>
        <w:t>Among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patients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ALT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above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China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criteria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(ULN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40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U/L)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baseline.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  <w:vertAlign w:val="superscript"/>
        </w:rPr>
        <w:t>§</w:t>
      </w:r>
      <w:r w:rsidRPr="0053433D">
        <w:rPr>
          <w:sz w:val="24"/>
          <w:szCs w:val="24"/>
        </w:rPr>
        <w:t>Among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patients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ALT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above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AASLD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criteria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  <w:lang w:eastAsia="zh-CN"/>
        </w:rPr>
        <w:t>(ULN: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35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U/L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for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males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and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25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U/L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for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females).</w:t>
      </w:r>
      <w:r>
        <w:rPr>
          <w:sz w:val="24"/>
          <w:szCs w:val="24"/>
        </w:rPr>
        <w:t xml:space="preserve"> </w:t>
      </w:r>
      <w:r w:rsidRPr="00BF37E2">
        <w:rPr>
          <w:sz w:val="24"/>
          <w:szCs w:val="24"/>
        </w:rPr>
        <w:t>AASLD,</w:t>
      </w:r>
      <w:r>
        <w:rPr>
          <w:sz w:val="24"/>
          <w:szCs w:val="24"/>
        </w:rPr>
        <w:t xml:space="preserve"> </w:t>
      </w:r>
      <w:r w:rsidRPr="00BF37E2">
        <w:rPr>
          <w:sz w:val="24"/>
          <w:szCs w:val="24"/>
        </w:rPr>
        <w:t>American</w:t>
      </w:r>
      <w:r>
        <w:rPr>
          <w:sz w:val="24"/>
          <w:szCs w:val="24"/>
        </w:rPr>
        <w:t xml:space="preserve"> </w:t>
      </w:r>
      <w:r w:rsidRPr="00BF37E2">
        <w:rPr>
          <w:sz w:val="24"/>
          <w:szCs w:val="24"/>
        </w:rPr>
        <w:t>Association</w:t>
      </w:r>
      <w:r>
        <w:rPr>
          <w:sz w:val="24"/>
          <w:szCs w:val="24"/>
        </w:rPr>
        <w:t xml:space="preserve"> </w:t>
      </w:r>
      <w:r w:rsidRPr="00BF37E2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BF37E2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BF37E2">
        <w:rPr>
          <w:sz w:val="24"/>
          <w:szCs w:val="24"/>
        </w:rPr>
        <w:t>Study</w:t>
      </w:r>
      <w:r>
        <w:rPr>
          <w:sz w:val="24"/>
          <w:szCs w:val="24"/>
        </w:rPr>
        <w:t xml:space="preserve"> </w:t>
      </w:r>
      <w:r w:rsidRPr="00BF37E2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BF37E2">
        <w:rPr>
          <w:sz w:val="24"/>
          <w:szCs w:val="24"/>
        </w:rPr>
        <w:t>Liver</w:t>
      </w:r>
      <w:r>
        <w:rPr>
          <w:sz w:val="24"/>
          <w:szCs w:val="24"/>
        </w:rPr>
        <w:t xml:space="preserve"> </w:t>
      </w:r>
      <w:r w:rsidRPr="00BF37E2">
        <w:rPr>
          <w:sz w:val="24"/>
          <w:szCs w:val="24"/>
        </w:rPr>
        <w:lastRenderedPageBreak/>
        <w:t>Diseases;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ALT,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alanine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aminotransferase;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  <w:lang w:eastAsia="zh-CN"/>
        </w:rPr>
        <w:t>Anti-HBe,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hepatitis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B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e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antibody;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Anti-HBs,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hepatitis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B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surface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antibody;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</w:rPr>
        <w:t>CI,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confidence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interval;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DNA,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deoxyribonucleic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acid;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DXA,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dual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energy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x-ray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absorptiometry;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HBV,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hepatitis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virus;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HBeAg,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hepatitis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antigen;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HBsAg,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hepatitis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surface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antigen;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ND,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not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done;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OL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FAS,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open-label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full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analysis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set;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SD,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standard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deviation;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TAF,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tenofovir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alafenamide;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TDF,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tenofovir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disoproxil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fumarate.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ULN: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upper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limit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normal.</w:t>
      </w:r>
    </w:p>
    <w:p w:rsidR="009436FA" w:rsidRDefault="009436FA"/>
    <w:sectPr w:rsidR="009436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3B058F"/>
    <w:rsid w:val="003B058F"/>
    <w:rsid w:val="009436FA"/>
    <w:rsid w:val="00F8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F85893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link w:val="TableheadingChar"/>
    <w:qFormat/>
    <w:rsid w:val="00F85893"/>
    <w:pPr>
      <w:spacing w:after="120"/>
    </w:pPr>
    <w:rPr>
      <w:rFonts w:ascii="Times New Roman" w:eastAsia="宋体" w:hAnsi="Times New Roman" w:cs="Times New Roman"/>
      <w:b/>
      <w:bCs/>
    </w:rPr>
  </w:style>
  <w:style w:type="character" w:customStyle="1" w:styleId="TableheadingChar">
    <w:name w:val="Table heading Char"/>
    <w:basedOn w:val="DefaultParagraphFont"/>
    <w:link w:val="Tableheading"/>
    <w:locked/>
    <w:rsid w:val="00F85893"/>
    <w:rPr>
      <w:rFonts w:ascii="Times New Roman" w:eastAsia="宋体" w:hAnsi="Times New Roman" w:cs="Times New Roman"/>
      <w:b/>
      <w:bCs/>
    </w:rPr>
  </w:style>
  <w:style w:type="table" w:styleId="TableGrid">
    <w:name w:val="Table Grid"/>
    <w:basedOn w:val="TableNormal"/>
    <w:uiPriority w:val="59"/>
    <w:rsid w:val="00F85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2024-03-31T12:55:00Z</dcterms:created>
  <dcterms:modified xsi:type="dcterms:W3CDTF">2024-03-31T12:55:00Z</dcterms:modified>
</cp:coreProperties>
</file>