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9" w:rsidRDefault="009A6249" w:rsidP="009A62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2. The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isk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actors of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iver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ancer in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chronic hepatitis C patients.</w:t>
      </w:r>
    </w:p>
    <w:tbl>
      <w:tblPr>
        <w:tblW w:w="0" w:type="auto"/>
        <w:tblLook w:val="04A0"/>
      </w:tblPr>
      <w:tblGrid>
        <w:gridCol w:w="2157"/>
        <w:gridCol w:w="1126"/>
        <w:gridCol w:w="1253"/>
        <w:gridCol w:w="665"/>
        <w:gridCol w:w="827"/>
        <w:gridCol w:w="582"/>
        <w:gridCol w:w="758"/>
        <w:gridCol w:w="1488"/>
      </w:tblGrid>
      <w:tr w:rsidR="009A6249" w:rsidTr="003F6419">
        <w:trPr>
          <w:trHeight w:val="645"/>
        </w:trPr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Variables</w:t>
            </w:r>
          </w:p>
        </w:tc>
        <w:tc>
          <w:tcPr>
            <w:tcW w:w="165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Patients with Liver Cancer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(N=50)</w:t>
            </w:r>
          </w:p>
        </w:tc>
        <w:tc>
          <w:tcPr>
            <w:tcW w:w="18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Patients without Liver Cancer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(N=308)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Single Factor Analysis</w:t>
            </w:r>
          </w:p>
        </w:tc>
        <w:tc>
          <w:tcPr>
            <w:tcW w:w="305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Multivariate Analysis</w:t>
            </w:r>
          </w:p>
        </w:tc>
      </w:tr>
      <w:tr w:rsidR="009A6249" w:rsidTr="003F6419">
        <w:trPr>
          <w:trHeight w:val="40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N (%)/N (%)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χ2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P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Z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OR (95%CI)</w:t>
            </w:r>
          </w:p>
        </w:tc>
      </w:tr>
      <w:tr w:rsidR="009A6249" w:rsidTr="003F6419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Gender(Male/Female)</w:t>
            </w:r>
          </w:p>
        </w:tc>
        <w:tc>
          <w:tcPr>
            <w:tcW w:w="165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39 (78.0)/11 (22.0)</w:t>
            </w:r>
          </w:p>
        </w:tc>
        <w:tc>
          <w:tcPr>
            <w:tcW w:w="18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189 (61.4)/119 (38.6)</w:t>
            </w:r>
          </w:p>
        </w:tc>
        <w:tc>
          <w:tcPr>
            <w:tcW w:w="7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5.15</w:t>
            </w:r>
          </w:p>
        </w:tc>
        <w:tc>
          <w:tcPr>
            <w:tcW w:w="104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0.023</w:t>
            </w:r>
          </w:p>
        </w:tc>
        <w:tc>
          <w:tcPr>
            <w:tcW w:w="6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1.91</w:t>
            </w: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0.056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2.19(1.00~5.06)</w:t>
            </w:r>
          </w:p>
        </w:tc>
      </w:tr>
      <w:tr w:rsidR="009A6249" w:rsidTr="003F641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Age(≥50/&lt;50)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45 (90.0)/5 (10.0)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198 (64.3)/110 (35.7)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13.05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&lt;0.001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3.48(1.29~11.23)</w:t>
            </w:r>
          </w:p>
        </w:tc>
      </w:tr>
      <w:tr w:rsidR="009A6249" w:rsidTr="003F641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Child-Pugh (B+C/A)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16 (32.0)/34 (68.0)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30 (9.7)/278 (90.3)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19.03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&lt;0.001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0.320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1.53(0.65~3.55)</w:t>
            </w:r>
          </w:p>
        </w:tc>
      </w:tr>
      <w:tr w:rsidR="009A6249" w:rsidTr="003F641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FIB-4(≥3.25/&lt;3.25)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40 (80.0)/10 (20.0)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73 (23.7)/235 (76.3)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63.12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&lt;0.001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5.46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&lt;0.001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9.48(4.35~22.19)</w:t>
            </w:r>
          </w:p>
        </w:tc>
      </w:tr>
      <w:tr w:rsidR="009A6249" w:rsidTr="003F641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Fatty liver(With/Without)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 (12.0)/44 (88.0)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74 (24.0)/234 (76.0)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3.59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0.058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-0.96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0.337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0.61(0.21~1.58)</w:t>
            </w:r>
          </w:p>
        </w:tc>
      </w:tr>
      <w:tr w:rsidR="009A6249" w:rsidTr="003F641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Diabetes(With/Without)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 (16.0)/42 (84.0)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22 (7.2)/286 (92.8)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4.40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0.051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0.780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1.16(0.39~3.22)</w:t>
            </w:r>
          </w:p>
        </w:tc>
      </w:tr>
      <w:tr w:rsidR="009A6249" w:rsidTr="003F6419">
        <w:trPr>
          <w:trHeight w:val="5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ANA(Positive/Negative)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 (16.0)/42 (84.0)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64 (20.8)/244 (79.2)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0.61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0.434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-1.71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0.087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0.45(0.17~1.08)</w:t>
            </w:r>
          </w:p>
        </w:tc>
      </w:tr>
      <w:tr w:rsidR="009A6249" w:rsidTr="003F641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HCV viral load(&lt;</w:t>
            </w:r>
            <w:r>
              <w:rPr>
                <w:rFonts w:ascii="Times New Roman" w:eastAsia="微软雅黑" w:hAnsi="Times New Roman" w:cs="Times New Roman"/>
                <w:sz w:val="18"/>
                <w:szCs w:val="18"/>
                <w:lang/>
              </w:rPr>
              <w:t>10</w:t>
            </w:r>
            <w:r>
              <w:rPr>
                <w:rFonts w:ascii="Times New Roman" w:eastAsia="微软雅黑" w:hAnsi="Times New Roman" w:cs="Times New Roman"/>
                <w:sz w:val="18"/>
                <w:szCs w:val="18"/>
                <w:vertAlign w:val="superscript"/>
                <w:lang/>
              </w:rPr>
              <w:t xml:space="preserve">6 </w:t>
            </w:r>
            <w:r>
              <w:rPr>
                <w:rFonts w:ascii="Times New Roman" w:eastAsia="微软雅黑" w:hAnsi="Times New Roman" w:cs="Times New Roman"/>
                <w:sz w:val="18"/>
                <w:szCs w:val="18"/>
                <w:lang/>
              </w:rPr>
              <w:t>IU/L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/≥</w:t>
            </w:r>
            <w:r>
              <w:rPr>
                <w:rFonts w:ascii="Times New Roman" w:eastAsia="微软雅黑" w:hAnsi="Times New Roman" w:cs="Times New Roman"/>
                <w:sz w:val="18"/>
                <w:szCs w:val="18"/>
                <w:lang/>
              </w:rPr>
              <w:t>10</w:t>
            </w:r>
            <w:r>
              <w:rPr>
                <w:rFonts w:ascii="Times New Roman" w:eastAsia="微软雅黑" w:hAnsi="Times New Roman" w:cs="Times New Roman"/>
                <w:sz w:val="18"/>
                <w:szCs w:val="18"/>
                <w:vertAlign w:val="superscript"/>
                <w:lang/>
              </w:rPr>
              <w:t xml:space="preserve">6 </w:t>
            </w:r>
            <w:r>
              <w:rPr>
                <w:rFonts w:ascii="Times New Roman" w:eastAsia="微软雅黑" w:hAnsi="Times New Roman" w:cs="Times New Roman"/>
                <w:sz w:val="18"/>
                <w:szCs w:val="18"/>
                <w:lang/>
              </w:rPr>
              <w:t>IU/L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23 (46)/27 (54)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97 (31.5)/211 (68.5)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4.06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0.044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-0.54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0.590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0.82(0.40~1.69)</w:t>
            </w:r>
          </w:p>
        </w:tc>
      </w:tr>
      <w:tr w:rsidR="009A6249" w:rsidTr="003F641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HBsAg(Positive/Negative)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 (10)/45 (90)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 (4.9)/293 (95.1)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0.143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0.323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A6249" w:rsidRDefault="009A6249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1.9(0.50~6.60)</w:t>
            </w:r>
          </w:p>
        </w:tc>
      </w:tr>
    </w:tbl>
    <w:p w:rsidR="009A6249" w:rsidRDefault="009A6249" w:rsidP="009A6249">
      <w:pPr>
        <w:suppressLineNumbers/>
        <w:spacing w:beforeLines="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Notes: The chi-square test was used in single factor analysis. Logistics regression analysis was used in multivariate analysis. Child A included CHC patients without cirrhosis, which scored &lt;=6.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Child-Pugh stages B and C 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which scored &gt;6 </w:t>
      </w:r>
      <w:r>
        <w:rPr>
          <w:rFonts w:ascii="Times New Roman" w:hAnsi="Times New Roman" w:cs="Times New Roman"/>
          <w:sz w:val="18"/>
          <w:szCs w:val="18"/>
        </w:rPr>
        <w:t>indicated advanced cirrhosis.FIB-4: the fibrosis index based on four factors, FIB4 = Age × AST / (Platelet× sqr(ALT).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FIB-4 index Points &gt; 3.25 indicated cirrhosis most likely</w:t>
      </w:r>
      <w:r>
        <w:rPr>
          <w:rFonts w:ascii="Times New Roman" w:hAnsi="Times New Roman" w:cs="Times New Roman" w:hint="eastAsia"/>
          <w:sz w:val="18"/>
          <w:szCs w:val="18"/>
        </w:rPr>
        <w:t>.</w:t>
      </w:r>
    </w:p>
    <w:p w:rsidR="00F9629B" w:rsidRDefault="00F9629B"/>
    <w:sectPr w:rsidR="00F962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9A6249"/>
    <w:rsid w:val="009A6249"/>
    <w:rsid w:val="00F9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2025-04-10T01:09:00Z</dcterms:created>
  <dcterms:modified xsi:type="dcterms:W3CDTF">2025-04-10T01:09:00Z</dcterms:modified>
</cp:coreProperties>
</file>