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A1" w:rsidRPr="00BB4771" w:rsidRDefault="00E703A1" w:rsidP="00E703A1">
      <w:pPr>
        <w:spacing w:line="480" w:lineRule="auto"/>
        <w:rPr>
          <w:rFonts w:cs="Times New Roman"/>
          <w:b/>
        </w:rPr>
      </w:pPr>
    </w:p>
    <w:p w:rsidR="00E703A1" w:rsidRPr="00BB4771" w:rsidRDefault="00E703A1" w:rsidP="00E703A1">
      <w:pPr>
        <w:spacing w:line="480" w:lineRule="auto"/>
        <w:rPr>
          <w:rFonts w:cs="Times New Roman"/>
        </w:rPr>
      </w:pPr>
      <w:r w:rsidRPr="00BB4771">
        <w:rPr>
          <w:rFonts w:cs="Times New Roman"/>
          <w:noProof/>
        </w:rPr>
        <w:drawing>
          <wp:inline distT="0" distB="0" distL="0" distR="0">
            <wp:extent cx="5247005" cy="2065020"/>
            <wp:effectExtent l="0" t="0" r="0" b="0"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ure S1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3A1" w:rsidRPr="00BB4771" w:rsidRDefault="00E703A1" w:rsidP="00E703A1">
      <w:pPr>
        <w:spacing w:line="480" w:lineRule="auto"/>
        <w:rPr>
          <w:rFonts w:cs="Times New Roman"/>
          <w:bCs/>
        </w:rPr>
      </w:pPr>
      <w:r w:rsidRPr="00BB4771">
        <w:rPr>
          <w:rFonts w:cs="Times New Roman"/>
          <w:b/>
          <w:bCs/>
        </w:rPr>
        <w:t>Supplementary Figure S1.</w:t>
      </w:r>
      <w:r w:rsidRPr="00BB4771">
        <w:rPr>
          <w:rFonts w:cs="Times New Roman"/>
        </w:rPr>
        <w:t xml:space="preserve"> </w:t>
      </w:r>
      <w:r w:rsidRPr="00BB4771">
        <w:rPr>
          <w:rFonts w:cs="Times New Roman"/>
          <w:bCs/>
        </w:rPr>
        <w:t xml:space="preserve">Proportion of patients in the (A) </w:t>
      </w:r>
      <w:r w:rsidRPr="00BB4771">
        <w:rPr>
          <w:rFonts w:cs="Times New Roman"/>
        </w:rPr>
        <w:t xml:space="preserve">tenofovir amibufenamide (TMF) </w:t>
      </w:r>
      <w:r w:rsidRPr="00BB4771">
        <w:rPr>
          <w:rFonts w:cs="Times New Roman"/>
          <w:bCs/>
        </w:rPr>
        <w:t>group and (B) the blank control group with high-normal ALT (0.5~1× ULN) and low-normal ALT (≤0.5 ULN) at baseline and at week 48 (FAS).</w:t>
      </w:r>
    </w:p>
    <w:p w:rsidR="00236B91" w:rsidRPr="00E703A1" w:rsidRDefault="00236B91" w:rsidP="00E703A1"/>
    <w:sectPr w:rsidR="00236B91" w:rsidRPr="00E703A1" w:rsidSect="00697E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F8128B"/>
    <w:rsid w:val="00236B91"/>
    <w:rsid w:val="00697E22"/>
    <w:rsid w:val="00E703A1"/>
    <w:rsid w:val="00F81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3</cp:revision>
  <dcterms:created xsi:type="dcterms:W3CDTF">2025-06-25T10:31:00Z</dcterms:created>
  <dcterms:modified xsi:type="dcterms:W3CDTF">2025-06-30T09:07:00Z</dcterms:modified>
</cp:coreProperties>
</file>