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2. Baseline demographics and disease characteristics (</w:t>
      </w:r>
      <w:r w:rsidRPr="00985A89">
        <w:rPr>
          <w:rFonts w:ascii="Times New Roman" w:hAnsi="Times New Roman" w:cs="Times New Roman"/>
          <w:b/>
          <w:bCs/>
          <w:kern w:val="2"/>
          <w:lang w:eastAsia="zh-CN"/>
        </w:rPr>
        <w:t>full analysis set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)</w:t>
      </w:r>
    </w:p>
    <w:tbl>
      <w:tblPr>
        <w:tblW w:w="9089" w:type="dxa"/>
        <w:tblCellMar>
          <w:left w:w="0" w:type="dxa"/>
          <w:right w:w="0" w:type="dxa"/>
        </w:tblCellMar>
        <w:tblLook w:val="04A0"/>
      </w:tblPr>
      <w:tblGrid>
        <w:gridCol w:w="2635"/>
        <w:gridCol w:w="2835"/>
        <w:gridCol w:w="2410"/>
        <w:gridCol w:w="1209"/>
      </w:tblGrid>
      <w:tr w:rsidR="00104B83" w:rsidRPr="0011586A" w:rsidTr="00AC6C07">
        <w:trPr>
          <w:trHeight w:val="392"/>
        </w:trPr>
        <w:tc>
          <w:tcPr>
            <w:tcW w:w="26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68)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YGG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71)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ALB (g/L)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30.2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6.5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0.356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GLB (g/L)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32.1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7.2*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0.009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ALT (IU/L)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50.6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91.5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56.9 ±1 05.8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0.705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AST (IU/L)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66.8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58.7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66.8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79.5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&gt; 0.999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lang w:eastAsia="zh-CN"/>
              </w:rPr>
              <w:t>γ-GT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(IU/L)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91.6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114.1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102.1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185.9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0.686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ALP (IU/L)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135.2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136.4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79.5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0.922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CHE (KU/L)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0.095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DBil (μmol/L)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21.5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24.5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30.0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0.826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IBil (μmol/L)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17.8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0.977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TBA (μmol/L)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92.8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121.0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85.3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89.3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0.690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PA (mg/L)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100.0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99.7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50.6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0.973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AFP (μg/L)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161.3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1025.4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0.349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Blood ammonia (μmol/L)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39.0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65.5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0.976</w:t>
            </w:r>
          </w:p>
        </w:tc>
      </w:tr>
      <w:tr w:rsidR="00104B83" w:rsidRPr="008A1B79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8A1B7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Blood routine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RBC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12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3.433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3.712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0.809*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0.032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Hb (g/L)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109.0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116.7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0.074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WBC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3.987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3.819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1.795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0.595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N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2.262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2.230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0.890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1.199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1.036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0.121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PLT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89.4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55.81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84.3±59.07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0.604</w:t>
            </w:r>
          </w:p>
        </w:tc>
      </w:tr>
      <w:tr w:rsidR="00104B83" w:rsidRPr="008A1B79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8A1B7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Coagulation function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TT (S)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18.55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1.785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18.62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1.896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0.843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INR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1.427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1.369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0.268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Fib (g/L)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2.123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2.048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0.504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APTT (S)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42.32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6.362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42.46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6.825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0.904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PTA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63.96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17.124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67.70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19.695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0.241</w:t>
            </w:r>
          </w:p>
        </w:tc>
      </w:tr>
      <w:tr w:rsidR="00104B83" w:rsidRPr="008A1B79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8A1B7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Renal function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Cr (μmol/L)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69.881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23.289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71.572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24.594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0.687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UA (μmol/L)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314.10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99.644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312.37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110.865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0.926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BUN (mmol/L)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5.095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4.885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2.073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0.553</w:t>
            </w:r>
          </w:p>
        </w:tc>
      </w:tr>
      <w:tr w:rsidR="00104B83" w:rsidRPr="008A1B79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8A1B79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Standard medical therapy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8A1B79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Diuretics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51 (75.0)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46 (64.8)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0.190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lastRenderedPageBreak/>
              <w:t>Human albumin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40 (58.8)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 (49.3)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0.260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Lactulose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12 (17.6)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 (14.1)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0.565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ind w:left="164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Beta blockers,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15 (33.1)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12 (16.9)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0.442</w:t>
            </w:r>
          </w:p>
        </w:tc>
      </w:tr>
    </w:tbl>
    <w:p w:rsidR="00104B83" w:rsidRPr="0011586A" w:rsidRDefault="00104B83" w:rsidP="00622DFD">
      <w:pPr>
        <w:widowControl w:val="0"/>
        <w:spacing w:line="48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A71F91">
        <w:rPr>
          <w:rFonts w:ascii="Times New Roman" w:hAnsi="Times New Roman" w:cs="Times New Roman"/>
          <w:kern w:val="2"/>
          <w:lang w:eastAsia="zh-CN"/>
        </w:rPr>
        <w:t xml:space="preserve">Data are </w:t>
      </w:r>
      <w:r w:rsidRPr="00A71F91">
        <w:rPr>
          <w:rFonts w:ascii="Times New Roman" w:hAnsi="Times New Roman" w:cs="Times New Roman"/>
          <w:i/>
          <w:iCs/>
          <w:kern w:val="2"/>
          <w:lang w:eastAsia="zh-CN"/>
        </w:rPr>
        <w:t>n</w:t>
      </w:r>
      <w:r w:rsidRPr="00A71F91">
        <w:rPr>
          <w:rFonts w:ascii="Times New Roman" w:hAnsi="Times New Roman" w:cs="Times New Roman"/>
          <w:kern w:val="2"/>
          <w:lang w:eastAsia="zh-CN"/>
        </w:rPr>
        <w:t xml:space="preserve"> (%) or mean±SD; </w:t>
      </w:r>
      <w:r w:rsidRPr="00A71F91">
        <w:rPr>
          <w:rFonts w:ascii="Times New Roman" w:hAnsi="Times New Roman" w:cs="Times New Roman"/>
          <w:lang w:eastAsia="zh-CN"/>
        </w:rPr>
        <w:t>γ-GT, gamma glutamyl transpeptidase; AFP, alpha fetoprotein; ALB, albumin; ALP, alkaline phosphatase; ALT, alanine transaminase; APTT, activated partial thromboplastin time; AST, aspartate aminotransferase; BUN, blood urea nitrogen; CHE, cholinesterase; Cr, creatinine; DBil, direct bilirubin; Fib, fibrinogen; GLB, globin; Hb, hemoglobin; INR, international normalized ratio; L, lymphocyte; N, neutrophils; PA, prealbumin; PLT, platelet; PTA, prothrombin activity; RBC, red blood cell; TBil, total bilirubin; TBA, total bile acids; TT, thrombin time; UA, uric acid; WBC, white blood cell.</w:t>
      </w:r>
      <w:r w:rsidR="00622DFD" w:rsidRPr="0011586A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B20919" w:rsidRDefault="00B20919"/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1F7F0A"/>
    <w:rsid w:val="00315AA1"/>
    <w:rsid w:val="00622DFD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1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2022-03-30T00:00:00Z</dcterms:created>
  <dcterms:modified xsi:type="dcterms:W3CDTF">2022-03-30T00:22:00Z</dcterms:modified>
</cp:coreProperties>
</file>