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75718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lang w:eastAsia="zh-CN"/>
        </w:rPr>
      </w:pPr>
      <w:r w:rsidRPr="00175718">
        <w:rPr>
          <w:rFonts w:ascii="Times New Roman" w:hAnsi="Times New Roman" w:cs="Times New Roman"/>
          <w:b/>
          <w:bCs/>
          <w:color w:val="000000" w:themeColor="text1"/>
          <w:kern w:val="2"/>
          <w:lang w:eastAsia="zh-CN"/>
        </w:rPr>
        <w:t>Supplementa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lang w:eastAsia="zh-CN"/>
        </w:rPr>
        <w:t>ry</w:t>
      </w:r>
      <w:r w:rsidRPr="00175718">
        <w:rPr>
          <w:rFonts w:ascii="Times New Roman" w:hAnsi="Times New Roman" w:cs="Times New Roman"/>
          <w:b/>
          <w:bCs/>
          <w:color w:val="000000" w:themeColor="text1"/>
          <w:kern w:val="2"/>
          <w:lang w:eastAsia="zh-CN"/>
        </w:rPr>
        <w:t xml:space="preserve"> Table 1. Baseline demographics and disease characteristics (intention-to-treat analysis)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3119"/>
        <w:gridCol w:w="425"/>
        <w:gridCol w:w="1956"/>
        <w:gridCol w:w="312"/>
        <w:gridCol w:w="2068"/>
        <w:gridCol w:w="200"/>
        <w:gridCol w:w="1000"/>
      </w:tblGrid>
      <w:tr w:rsidR="00104B83" w:rsidRPr="00175718" w:rsidTr="00AC6C07">
        <w:trPr>
          <w:trHeight w:val="263"/>
        </w:trPr>
        <w:tc>
          <w:tcPr>
            <w:tcW w:w="31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Placebo group (</w:t>
            </w:r>
            <w:r w:rsidRPr="00175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n=</w:t>
            </w: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80)</w:t>
            </w:r>
          </w:p>
        </w:tc>
        <w:tc>
          <w:tcPr>
            <w:tcW w:w="20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YGJ group (</w:t>
            </w:r>
            <w:r w:rsidRPr="00175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n=</w:t>
            </w: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80)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p-</w:t>
            </w: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Age, years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54.1±9.63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83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52.5±9.91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0.295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Male,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53 (66.3)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59 (73.8)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0.301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BMI (kg/m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vertAlign w:val="superscript"/>
                <w:lang w:eastAsia="zh-CN"/>
              </w:rPr>
              <w:t>2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22.790±3.057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23.250±3.896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0.413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History of hepatitis B (months)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76.0 (11.0, 191.0)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96.0 (15.0, 221.0)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0.678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History of liver cirrhosis (months)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8.0 (1.0, 45.0)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25.0 (2.0, 97.0)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0.030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Antiviral duration (months)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1.0 (0, 156)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5.5 (0, 216)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bookmarkStart w:id="0" w:name="_Hlk92151259"/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0.176</w:t>
            </w:r>
            <w:bookmarkEnd w:id="0"/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Antiviral drugs,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ETV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54 (67.5)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50 (62.5)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0.785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TDF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14 (17.5)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17 (21.3)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Others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12 (15.0)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13 (16.3)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First treatment with antiviral drugs,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31 (43.1)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23 (30.3)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0.106</w:t>
            </w:r>
          </w:p>
        </w:tc>
      </w:tr>
      <w:tr w:rsidR="00104B83" w:rsidRPr="00175718" w:rsidTr="00AC6C07">
        <w:trPr>
          <w:trHeight w:val="26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HBeAg positivity,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22 (43.1)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25 (55.6)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0.225</w:t>
            </w:r>
          </w:p>
        </w:tc>
      </w:tr>
      <w:tr w:rsidR="00104B83" w:rsidRPr="00175718" w:rsidTr="00AC6C07">
        <w:trPr>
          <w:trHeight w:val="26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HBV-DNA (log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vertAlign w:val="subscript"/>
                <w:lang w:eastAsia="zh-CN"/>
              </w:rPr>
              <w:t xml:space="preserve">10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IU/ml)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2.5±2.5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2.0±2.4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0.239</w:t>
            </w:r>
          </w:p>
        </w:tc>
      </w:tr>
      <w:tr w:rsidR="00104B83" w:rsidRPr="00175718" w:rsidTr="00AC6C07">
        <w:trPr>
          <w:trHeight w:val="26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HBV-DNA (positive)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33 (41.3)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32 (40.0)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0.872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herbal decoction pieces,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29 (39.7)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16 (21.9)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0.020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Chinese patent drug,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46 (63.0)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33 (45.2)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0.031</w:t>
            </w:r>
          </w:p>
        </w:tc>
      </w:tr>
      <w:tr w:rsidR="00104B83" w:rsidRPr="00175718" w:rsidTr="00AC6C07">
        <w:trPr>
          <w:trHeight w:val="27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Diabetes mellitus,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16 (22.9)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19 (26.0)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0.659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Hypertension,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</w:t>
            </w:r>
            <w:r w:rsidRPr="00175718">
              <w:rPr>
                <w:rFonts w:ascii="Times New Roman" w:hAnsi="Times New Roman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10 (23.8)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9 (21.4)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0.794</w:t>
            </w:r>
          </w:p>
        </w:tc>
      </w:tr>
      <w:tr w:rsidR="00104B83" w:rsidRPr="00175718" w:rsidTr="00AC6C07">
        <w:trPr>
          <w:trHeight w:val="19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Esophageal varices,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n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36 (45.0)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41 (51.2)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0.429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Previous variceal bleeding,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15 (18.8)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22 (27.5)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0.189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SBP,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44 (55.0)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eastAsia="等线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37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(46.3)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0.268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  <w:t>Standard medical therapy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lastRenderedPageBreak/>
              <w:t xml:space="preserve">Diuretics,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56 (70.0)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53 (66.3)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0.611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Human albumin,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45 (56.3)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40 (50.0)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0.428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Lactulose,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13 (16.3)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10 (12.5)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0.499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Beta blockers,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16 (20.0)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13 (16.3)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0.538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CTP score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8.7±1.72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8.5±1.73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0.437</w:t>
            </w:r>
          </w:p>
        </w:tc>
      </w:tr>
      <w:tr w:rsidR="00104B83" w:rsidRPr="00175718" w:rsidTr="00AC6C07">
        <w:trPr>
          <w:trHeight w:val="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CTP class,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n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A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 (3.8) *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 (6.3) 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0.547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54 (67.5)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54 (67.5)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23 (28.8)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21 (26.3)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PT (s)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17.52±3.021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16.88±2.783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0.167</w:t>
            </w:r>
          </w:p>
        </w:tc>
      </w:tr>
      <w:tr w:rsidR="00104B83" w:rsidRPr="00175718" w:rsidTr="00AC6C07">
        <w:trPr>
          <w:trHeight w:val="9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Bilirubin (μmol/L)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49.142±29.684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49.105±40.731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0.995</w:t>
            </w:r>
          </w:p>
        </w:tc>
      </w:tr>
      <w:tr w:rsidR="00104B83" w:rsidRPr="00175718" w:rsidTr="00AC6C07">
        <w:trPr>
          <w:trHeight w:val="359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Albumin (g/L)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30.003±5.036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31.117±6.333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0.220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Creatinine (μmol/L)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70.605±22.766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71.062±23.723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0.904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Ascites, </w:t>
            </w:r>
            <w:r w:rsidRPr="00175718">
              <w:rPr>
                <w:rFonts w:ascii="Times New Roman" w:hAnsi="Times New Roman" w:cs="Times New Roman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n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(%)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None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28 (35.0)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25 (31.3)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0.443</w:t>
            </w:r>
          </w:p>
        </w:tc>
      </w:tr>
      <w:tr w:rsidR="00104B83" w:rsidRPr="00175718" w:rsidTr="00AC6C07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Mild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27 (33.8)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25 (31.3)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Moderate to severe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25 (31.3)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30 (37.5)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Hepatic encephalopathy, n (%)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None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76 (95.0)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75 (93.8)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0.630</w:t>
            </w: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</w:t>
            </w: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1-2 stage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3 (3.8)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263"/>
        </w:trPr>
        <w:tc>
          <w:tcPr>
            <w:tcW w:w="35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 xml:space="preserve">  3-4 stage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1 (1.3)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75718"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>2 (2.5)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04B83" w:rsidRPr="00175718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</w:p>
        </w:tc>
      </w:tr>
      <w:tr w:rsidR="00104B83" w:rsidRPr="00175718" w:rsidTr="00AC6C07">
        <w:trPr>
          <w:trHeight w:val="263"/>
        </w:trPr>
        <w:tc>
          <w:tcPr>
            <w:tcW w:w="9080" w:type="dxa"/>
            <w:gridSpan w:val="7"/>
            <w:tcBorders>
              <w:top w:val="single" w:sz="12" w:space="0" w:color="auto"/>
              <w:left w:val="nil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</w:tcPr>
          <w:p w:rsidR="00104B83" w:rsidRPr="00A71F91" w:rsidRDefault="00104B83" w:rsidP="00AC6C07">
            <w:pPr>
              <w:widowControl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zh-CN"/>
              </w:rPr>
            </w:pPr>
            <w:r w:rsidRPr="00A71F91">
              <w:rPr>
                <w:rFonts w:ascii="Times New Roman" w:hAnsi="Times New Roman" w:cs="Times New Roman"/>
                <w:color w:val="000000" w:themeColor="text1"/>
                <w:kern w:val="2"/>
                <w:lang w:eastAsia="zh-CN"/>
              </w:rPr>
              <w:t>*CTP score at time of eligibility determination was ≥7. BMI, body mass index; CTP, Child-Turcotte-Pugh; PT, prothrombin time; SBP, spontaneous bacterial peritonitis.</w:t>
            </w:r>
          </w:p>
        </w:tc>
      </w:tr>
    </w:tbl>
    <w:p w:rsidR="00B20919" w:rsidRDefault="00B20919" w:rsidP="00EE3706">
      <w:pPr>
        <w:widowControl w:val="0"/>
        <w:jc w:val="both"/>
      </w:pPr>
    </w:p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123ECD"/>
    <w:rsid w:val="00A70BF3"/>
    <w:rsid w:val="00B20919"/>
    <w:rsid w:val="00EE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F3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2022-03-30T00:00:00Z</dcterms:created>
  <dcterms:modified xsi:type="dcterms:W3CDTF">2022-03-30T00:22:00Z</dcterms:modified>
</cp:coreProperties>
</file>