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E2" w:rsidRPr="00447BA6" w:rsidRDefault="006746E2" w:rsidP="006746E2">
      <w:pPr>
        <w:pStyle w:val="Para"/>
        <w:rPr>
          <w:b/>
          <w:sz w:val="22"/>
          <w:szCs w:val="22"/>
        </w:rPr>
      </w:pPr>
      <w:r w:rsidRPr="00447BA6">
        <w:rPr>
          <w:b/>
          <w:sz w:val="22"/>
          <w:szCs w:val="22"/>
        </w:rPr>
        <w:t xml:space="preserve">Supplementary </w:t>
      </w:r>
      <w:r w:rsidRPr="00447BA6">
        <w:rPr>
          <w:rFonts w:eastAsia="等线" w:hint="eastAsia"/>
          <w:b/>
          <w:sz w:val="22"/>
          <w:szCs w:val="22"/>
        </w:rPr>
        <w:t>T</w:t>
      </w:r>
      <w:r w:rsidRPr="00447BA6">
        <w:rPr>
          <w:b/>
          <w:sz w:val="22"/>
          <w:szCs w:val="22"/>
        </w:rPr>
        <w:t>able 2. Relevant antibody information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4"/>
        <w:gridCol w:w="1843"/>
        <w:gridCol w:w="2919"/>
      </w:tblGrid>
      <w:tr w:rsidR="006746E2" w:rsidRPr="00F52EFA" w:rsidTr="0036061D">
        <w:tc>
          <w:tcPr>
            <w:tcW w:w="3544" w:type="dxa"/>
          </w:tcPr>
          <w:p w:rsidR="006746E2" w:rsidRPr="00F52EFA" w:rsidRDefault="006746E2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sz w:val="22"/>
                <w:szCs w:val="22"/>
              </w:rPr>
              <w:t>Name</w:t>
            </w:r>
          </w:p>
        </w:tc>
        <w:tc>
          <w:tcPr>
            <w:tcW w:w="1843" w:type="dxa"/>
          </w:tcPr>
          <w:p w:rsidR="006746E2" w:rsidRPr="00F52EFA" w:rsidRDefault="006746E2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sz w:val="22"/>
                <w:szCs w:val="22"/>
              </w:rPr>
              <w:t>Product number</w:t>
            </w:r>
          </w:p>
        </w:tc>
        <w:tc>
          <w:tcPr>
            <w:tcW w:w="2919" w:type="dxa"/>
          </w:tcPr>
          <w:p w:rsidR="006746E2" w:rsidRPr="00F52EFA" w:rsidRDefault="006746E2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sz w:val="22"/>
                <w:szCs w:val="22"/>
              </w:rPr>
              <w:t>Company</w:t>
            </w:r>
          </w:p>
        </w:tc>
      </w:tr>
      <w:tr w:rsidR="006746E2" w:rsidRPr="00F52EFA" w:rsidTr="0036061D">
        <w:tc>
          <w:tcPr>
            <w:tcW w:w="3544" w:type="dxa"/>
            <w:vAlign w:val="center"/>
          </w:tcPr>
          <w:p w:rsidR="006746E2" w:rsidRPr="00F52EFA" w:rsidRDefault="006746E2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rFonts w:eastAsia="宋体"/>
                <w:sz w:val="22"/>
                <w:szCs w:val="22"/>
              </w:rPr>
              <w:t>FXR antibody</w:t>
            </w:r>
          </w:p>
        </w:tc>
        <w:tc>
          <w:tcPr>
            <w:tcW w:w="1843" w:type="dxa"/>
          </w:tcPr>
          <w:p w:rsidR="006746E2" w:rsidRPr="00F52EFA" w:rsidRDefault="006746E2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sz w:val="22"/>
                <w:szCs w:val="22"/>
              </w:rPr>
              <w:t>AV33672</w:t>
            </w:r>
          </w:p>
        </w:tc>
        <w:tc>
          <w:tcPr>
            <w:tcW w:w="2919" w:type="dxa"/>
          </w:tcPr>
          <w:p w:rsidR="006746E2" w:rsidRPr="00F52EFA" w:rsidRDefault="006746E2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sz w:val="22"/>
                <w:szCs w:val="22"/>
              </w:rPr>
              <w:t>Sigma</w:t>
            </w:r>
          </w:p>
        </w:tc>
      </w:tr>
      <w:tr w:rsidR="006746E2" w:rsidRPr="00F52EFA" w:rsidTr="0036061D">
        <w:tc>
          <w:tcPr>
            <w:tcW w:w="3544" w:type="dxa"/>
            <w:vAlign w:val="center"/>
          </w:tcPr>
          <w:p w:rsidR="006746E2" w:rsidRPr="00F52EFA" w:rsidRDefault="006746E2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sz w:val="22"/>
                <w:szCs w:val="22"/>
              </w:rPr>
              <w:t>CYP7A1 antibody</w:t>
            </w:r>
          </w:p>
        </w:tc>
        <w:tc>
          <w:tcPr>
            <w:tcW w:w="1843" w:type="dxa"/>
          </w:tcPr>
          <w:p w:rsidR="006746E2" w:rsidRPr="00F52EFA" w:rsidRDefault="006746E2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sz w:val="22"/>
                <w:szCs w:val="22"/>
              </w:rPr>
              <w:t>ab65596</w:t>
            </w:r>
          </w:p>
        </w:tc>
        <w:tc>
          <w:tcPr>
            <w:tcW w:w="2919" w:type="dxa"/>
          </w:tcPr>
          <w:p w:rsidR="006746E2" w:rsidRPr="00F52EFA" w:rsidRDefault="006746E2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sz w:val="22"/>
                <w:szCs w:val="22"/>
              </w:rPr>
              <w:t>Abcam</w:t>
            </w:r>
          </w:p>
        </w:tc>
      </w:tr>
      <w:tr w:rsidR="006746E2" w:rsidRPr="00F52EFA" w:rsidTr="0036061D">
        <w:tc>
          <w:tcPr>
            <w:tcW w:w="3544" w:type="dxa"/>
            <w:vAlign w:val="center"/>
          </w:tcPr>
          <w:p w:rsidR="006746E2" w:rsidRPr="00F52EFA" w:rsidRDefault="006746E2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rFonts w:eastAsia="宋体"/>
                <w:sz w:val="22"/>
                <w:szCs w:val="22"/>
              </w:rPr>
              <w:t>FGF15 antibody</w:t>
            </w:r>
          </w:p>
        </w:tc>
        <w:tc>
          <w:tcPr>
            <w:tcW w:w="1843" w:type="dxa"/>
          </w:tcPr>
          <w:p w:rsidR="006746E2" w:rsidRPr="00F52EFA" w:rsidRDefault="006746E2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sz w:val="22"/>
                <w:szCs w:val="22"/>
              </w:rPr>
              <w:t>ab229630</w:t>
            </w:r>
          </w:p>
        </w:tc>
        <w:tc>
          <w:tcPr>
            <w:tcW w:w="2919" w:type="dxa"/>
          </w:tcPr>
          <w:p w:rsidR="006746E2" w:rsidRPr="00F52EFA" w:rsidRDefault="006746E2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sz w:val="22"/>
                <w:szCs w:val="22"/>
              </w:rPr>
              <w:t>Abcam</w:t>
            </w:r>
          </w:p>
        </w:tc>
      </w:tr>
      <w:tr w:rsidR="006746E2" w:rsidRPr="00F52EFA" w:rsidTr="0036061D">
        <w:tc>
          <w:tcPr>
            <w:tcW w:w="3544" w:type="dxa"/>
            <w:vAlign w:val="center"/>
          </w:tcPr>
          <w:p w:rsidR="006746E2" w:rsidRPr="00F52EFA" w:rsidRDefault="006746E2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rFonts w:eastAsia="宋体"/>
                <w:sz w:val="22"/>
                <w:szCs w:val="22"/>
              </w:rPr>
              <w:t>ZO-1 antibody</w:t>
            </w:r>
          </w:p>
        </w:tc>
        <w:tc>
          <w:tcPr>
            <w:tcW w:w="1843" w:type="dxa"/>
          </w:tcPr>
          <w:p w:rsidR="006746E2" w:rsidRPr="00F52EFA" w:rsidRDefault="006746E2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sz w:val="22"/>
                <w:szCs w:val="22"/>
              </w:rPr>
              <w:t>ab216880</w:t>
            </w:r>
          </w:p>
        </w:tc>
        <w:tc>
          <w:tcPr>
            <w:tcW w:w="2919" w:type="dxa"/>
          </w:tcPr>
          <w:p w:rsidR="006746E2" w:rsidRPr="00F52EFA" w:rsidRDefault="006746E2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sz w:val="22"/>
                <w:szCs w:val="22"/>
              </w:rPr>
              <w:t>Abcam</w:t>
            </w:r>
          </w:p>
        </w:tc>
      </w:tr>
      <w:tr w:rsidR="006746E2" w:rsidRPr="00F52EFA" w:rsidTr="0036061D">
        <w:tc>
          <w:tcPr>
            <w:tcW w:w="3544" w:type="dxa"/>
            <w:vAlign w:val="center"/>
          </w:tcPr>
          <w:p w:rsidR="006746E2" w:rsidRPr="00F52EFA" w:rsidRDefault="006746E2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rFonts w:eastAsia="宋体"/>
                <w:sz w:val="22"/>
                <w:szCs w:val="22"/>
              </w:rPr>
              <w:t>Occludin antibody</w:t>
            </w:r>
          </w:p>
        </w:tc>
        <w:tc>
          <w:tcPr>
            <w:tcW w:w="1843" w:type="dxa"/>
          </w:tcPr>
          <w:p w:rsidR="006746E2" w:rsidRPr="00F52EFA" w:rsidRDefault="006746E2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sz w:val="22"/>
                <w:szCs w:val="22"/>
              </w:rPr>
              <w:t>ab216327</w:t>
            </w:r>
          </w:p>
        </w:tc>
        <w:tc>
          <w:tcPr>
            <w:tcW w:w="2919" w:type="dxa"/>
          </w:tcPr>
          <w:p w:rsidR="006746E2" w:rsidRPr="00F52EFA" w:rsidRDefault="006746E2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sz w:val="22"/>
                <w:szCs w:val="22"/>
              </w:rPr>
              <w:t>Abcam</w:t>
            </w:r>
          </w:p>
        </w:tc>
      </w:tr>
      <w:tr w:rsidR="006746E2" w:rsidRPr="00F52EFA" w:rsidTr="0036061D">
        <w:tc>
          <w:tcPr>
            <w:tcW w:w="3544" w:type="dxa"/>
            <w:vAlign w:val="center"/>
          </w:tcPr>
          <w:p w:rsidR="006746E2" w:rsidRPr="00F52EFA" w:rsidRDefault="006746E2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rFonts w:eastAsia="宋体"/>
                <w:sz w:val="22"/>
                <w:szCs w:val="22"/>
              </w:rPr>
              <w:t>GAPDH antibody</w:t>
            </w:r>
          </w:p>
        </w:tc>
        <w:tc>
          <w:tcPr>
            <w:tcW w:w="1843" w:type="dxa"/>
          </w:tcPr>
          <w:p w:rsidR="006746E2" w:rsidRPr="00F52EFA" w:rsidRDefault="006746E2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sz w:val="22"/>
                <w:szCs w:val="22"/>
              </w:rPr>
              <w:t>5174s</w:t>
            </w:r>
          </w:p>
        </w:tc>
        <w:tc>
          <w:tcPr>
            <w:tcW w:w="2919" w:type="dxa"/>
          </w:tcPr>
          <w:p w:rsidR="006746E2" w:rsidRPr="00F52EFA" w:rsidRDefault="006746E2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sz w:val="22"/>
                <w:szCs w:val="22"/>
              </w:rPr>
              <w:t>Cell Signaling Technology</w:t>
            </w:r>
          </w:p>
        </w:tc>
      </w:tr>
      <w:tr w:rsidR="006746E2" w:rsidRPr="00F52EFA" w:rsidTr="0036061D">
        <w:tc>
          <w:tcPr>
            <w:tcW w:w="3544" w:type="dxa"/>
            <w:vAlign w:val="center"/>
          </w:tcPr>
          <w:p w:rsidR="006746E2" w:rsidRPr="00F52EFA" w:rsidRDefault="006746E2" w:rsidP="0036061D">
            <w:pPr>
              <w:pStyle w:val="Para"/>
              <w:rPr>
                <w:rFonts w:eastAsia="宋体"/>
                <w:sz w:val="22"/>
                <w:szCs w:val="22"/>
              </w:rPr>
            </w:pPr>
            <w:r w:rsidRPr="00F52EFA">
              <w:rPr>
                <w:sz w:val="22"/>
                <w:szCs w:val="22"/>
              </w:rPr>
              <w:t>HRP-labeled Goat Anti-Mouse IgG</w:t>
            </w:r>
          </w:p>
        </w:tc>
        <w:tc>
          <w:tcPr>
            <w:tcW w:w="1843" w:type="dxa"/>
          </w:tcPr>
          <w:p w:rsidR="006746E2" w:rsidRPr="00F52EFA" w:rsidRDefault="006746E2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sz w:val="22"/>
                <w:szCs w:val="22"/>
              </w:rPr>
              <w:t>A0216</w:t>
            </w:r>
          </w:p>
        </w:tc>
        <w:tc>
          <w:tcPr>
            <w:tcW w:w="2919" w:type="dxa"/>
          </w:tcPr>
          <w:p w:rsidR="006746E2" w:rsidRPr="00F52EFA" w:rsidRDefault="006746E2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sz w:val="22"/>
                <w:szCs w:val="22"/>
              </w:rPr>
              <w:t>Beyotime</w:t>
            </w:r>
          </w:p>
        </w:tc>
      </w:tr>
      <w:tr w:rsidR="006746E2" w:rsidRPr="00F52EFA" w:rsidTr="0036061D">
        <w:tc>
          <w:tcPr>
            <w:tcW w:w="3544" w:type="dxa"/>
            <w:vAlign w:val="center"/>
          </w:tcPr>
          <w:p w:rsidR="006746E2" w:rsidRPr="00F52EFA" w:rsidRDefault="006746E2" w:rsidP="0036061D">
            <w:pPr>
              <w:pStyle w:val="Para"/>
              <w:rPr>
                <w:rFonts w:eastAsia="宋体"/>
                <w:sz w:val="22"/>
                <w:szCs w:val="22"/>
              </w:rPr>
            </w:pPr>
            <w:r w:rsidRPr="00F52EFA">
              <w:rPr>
                <w:sz w:val="22"/>
                <w:szCs w:val="22"/>
              </w:rPr>
              <w:t>HRP-labeled Goat Anti-Rabbit IgG</w:t>
            </w:r>
          </w:p>
        </w:tc>
        <w:tc>
          <w:tcPr>
            <w:tcW w:w="1843" w:type="dxa"/>
          </w:tcPr>
          <w:p w:rsidR="006746E2" w:rsidRPr="00F52EFA" w:rsidRDefault="006746E2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sz w:val="22"/>
                <w:szCs w:val="22"/>
              </w:rPr>
              <w:t>A0208</w:t>
            </w:r>
          </w:p>
        </w:tc>
        <w:tc>
          <w:tcPr>
            <w:tcW w:w="2919" w:type="dxa"/>
          </w:tcPr>
          <w:p w:rsidR="006746E2" w:rsidRPr="00F52EFA" w:rsidRDefault="006746E2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sz w:val="22"/>
                <w:szCs w:val="22"/>
              </w:rPr>
              <w:t>Beyotime</w:t>
            </w:r>
          </w:p>
        </w:tc>
      </w:tr>
    </w:tbl>
    <w:p w:rsidR="006746E2" w:rsidRPr="00F52EFA" w:rsidRDefault="006746E2" w:rsidP="006746E2">
      <w:pPr>
        <w:pStyle w:val="Para"/>
        <w:rPr>
          <w:sz w:val="22"/>
          <w:szCs w:val="22"/>
        </w:rPr>
      </w:pPr>
      <w:r w:rsidRPr="00F52EFA">
        <w:rPr>
          <w:sz w:val="22"/>
          <w:szCs w:val="22"/>
        </w:rPr>
        <w:t>FXR, farnesol X receptors; CYP7A1, cytochrome P450 family 7 subfamily A member-1; FGF15, fibroblast growth factor 15; ZO-1, tight junction protein-1.</w:t>
      </w:r>
    </w:p>
    <w:p w:rsidR="0070726C" w:rsidRDefault="0070726C"/>
    <w:sectPr w:rsidR="007072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6746E2"/>
    <w:rsid w:val="00447BA6"/>
    <w:rsid w:val="006746E2"/>
    <w:rsid w:val="0070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6E2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">
    <w:name w:val="Para"/>
    <w:basedOn w:val="Normal"/>
    <w:rsid w:val="006746E2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2023-02-09T07:26:00Z</dcterms:created>
  <dcterms:modified xsi:type="dcterms:W3CDTF">2023-02-09T07:26:00Z</dcterms:modified>
</cp:coreProperties>
</file>