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FFD21" w14:textId="77777777" w:rsidR="00903393" w:rsidRDefault="00903393" w:rsidP="009033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 7. Diagnostic statistics for the BAPC projection models</w:t>
      </w:r>
    </w:p>
    <w:tbl>
      <w:tblPr>
        <w:tblStyle w:val="TableGrid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"/>
        <w:gridCol w:w="864"/>
        <w:gridCol w:w="1376"/>
        <w:gridCol w:w="2391"/>
        <w:gridCol w:w="1389"/>
      </w:tblGrid>
      <w:tr w:rsidR="00903393" w:rsidRPr="00574D9E" w14:paraId="69247760" w14:textId="77777777" w:rsidTr="00C250EE">
        <w:trPr>
          <w:trHeight w:val="306"/>
          <w:jc w:val="center"/>
        </w:trPr>
        <w:tc>
          <w:tcPr>
            <w:tcW w:w="103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71E8FF7" w14:textId="77777777" w:rsidR="00903393" w:rsidRPr="00574D9E" w:rsidRDefault="00903393" w:rsidP="00C250EE">
            <w:pPr>
              <w:jc w:val="center"/>
              <w:rPr>
                <w:sz w:val="24"/>
              </w:rPr>
            </w:pPr>
            <w:r w:rsidRPr="00574D9E">
              <w:rPr>
                <w:b/>
                <w:bCs/>
              </w:rPr>
              <w:t>Measure</w:t>
            </w:r>
          </w:p>
        </w:tc>
        <w:tc>
          <w:tcPr>
            <w:tcW w:w="86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A85BA52" w14:textId="77777777" w:rsidR="00903393" w:rsidRPr="00574D9E" w:rsidRDefault="00903393" w:rsidP="00C250EE">
            <w:pPr>
              <w:jc w:val="center"/>
              <w:rPr>
                <w:sz w:val="24"/>
              </w:rPr>
            </w:pPr>
            <w:r w:rsidRPr="00574D9E">
              <w:rPr>
                <w:b/>
                <w:bCs/>
              </w:rPr>
              <w:t>Sex</w:t>
            </w:r>
          </w:p>
        </w:tc>
        <w:tc>
          <w:tcPr>
            <w:tcW w:w="1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49891F" w14:textId="77777777" w:rsidR="00903393" w:rsidRPr="00FC4369" w:rsidRDefault="00903393" w:rsidP="00C250EE">
            <w:pPr>
              <w:jc w:val="center"/>
              <w:rPr>
                <w:b/>
                <w:bCs/>
              </w:rPr>
            </w:pPr>
            <w:r w:rsidRPr="00FC4369">
              <w:rPr>
                <w:b/>
                <w:bCs/>
              </w:rPr>
              <w:t>DIC</w:t>
            </w:r>
          </w:p>
        </w:tc>
        <w:tc>
          <w:tcPr>
            <w:tcW w:w="239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1E3FFA" w14:textId="77777777" w:rsidR="00903393" w:rsidRPr="00574D9E" w:rsidRDefault="00903393" w:rsidP="00C250EE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</w:rPr>
              <w:t>P</w:t>
            </w:r>
            <w:r w:rsidRPr="00C1003D">
              <w:rPr>
                <w:b/>
                <w:bCs/>
              </w:rPr>
              <w:t>roportion of |Pearson residual| &gt; 3</w:t>
            </w:r>
          </w:p>
        </w:tc>
        <w:tc>
          <w:tcPr>
            <w:tcW w:w="138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89523C" w14:textId="77777777" w:rsidR="00903393" w:rsidRPr="00574D9E" w:rsidRDefault="00903393" w:rsidP="00C250EE">
            <w:pPr>
              <w:jc w:val="center"/>
              <w:rPr>
                <w:b/>
                <w:bCs/>
              </w:rPr>
            </w:pPr>
            <w:r w:rsidRPr="00FC4369">
              <w:rPr>
                <w:b/>
                <w:bCs/>
              </w:rPr>
              <w:t>Observed-versus-fitted rate MAPE</w:t>
            </w:r>
            <w:r w:rsidRPr="00C1003D">
              <w:rPr>
                <w:b/>
                <w:bCs/>
              </w:rPr>
              <w:t xml:space="preserve"> </w:t>
            </w:r>
          </w:p>
        </w:tc>
      </w:tr>
      <w:tr w:rsidR="00903393" w:rsidRPr="00574D9E" w14:paraId="5A953055" w14:textId="77777777" w:rsidTr="00C250EE">
        <w:trPr>
          <w:trHeight w:val="306"/>
          <w:jc w:val="center"/>
        </w:trPr>
        <w:tc>
          <w:tcPr>
            <w:tcW w:w="1031" w:type="dxa"/>
            <w:vMerge w:val="restart"/>
            <w:tcBorders>
              <w:top w:val="single" w:sz="8" w:space="0" w:color="auto"/>
            </w:tcBorders>
            <w:vAlign w:val="center"/>
          </w:tcPr>
          <w:p w14:paraId="370484D4" w14:textId="77777777" w:rsidR="00903393" w:rsidRPr="00574D9E" w:rsidRDefault="00903393" w:rsidP="00C250EE">
            <w:pPr>
              <w:rPr>
                <w:sz w:val="24"/>
              </w:rPr>
            </w:pPr>
            <w:r w:rsidRPr="00574D9E">
              <w:t>ASIR</w:t>
            </w:r>
          </w:p>
        </w:tc>
        <w:tc>
          <w:tcPr>
            <w:tcW w:w="864" w:type="dxa"/>
            <w:tcBorders>
              <w:top w:val="single" w:sz="8" w:space="0" w:color="auto"/>
            </w:tcBorders>
            <w:vAlign w:val="center"/>
          </w:tcPr>
          <w:p w14:paraId="43689986" w14:textId="77777777" w:rsidR="00903393" w:rsidRPr="00574D9E" w:rsidRDefault="00903393" w:rsidP="00C250EE">
            <w:pPr>
              <w:jc w:val="center"/>
              <w:rPr>
                <w:sz w:val="24"/>
              </w:rPr>
            </w:pPr>
            <w:r w:rsidRPr="00574D9E">
              <w:t>Both</w:t>
            </w:r>
          </w:p>
        </w:tc>
        <w:tc>
          <w:tcPr>
            <w:tcW w:w="1376" w:type="dxa"/>
            <w:tcBorders>
              <w:top w:val="single" w:sz="8" w:space="0" w:color="auto"/>
            </w:tcBorders>
          </w:tcPr>
          <w:p w14:paraId="1ED681B9" w14:textId="77777777" w:rsidR="00903393" w:rsidRPr="00FC4369" w:rsidRDefault="00903393" w:rsidP="00C250EE">
            <w:pPr>
              <w:jc w:val="center"/>
            </w:pPr>
            <w:r w:rsidRPr="00FC4369">
              <w:t>-8415.80</w:t>
            </w:r>
          </w:p>
        </w:tc>
        <w:tc>
          <w:tcPr>
            <w:tcW w:w="2391" w:type="dxa"/>
            <w:tcBorders>
              <w:top w:val="single" w:sz="8" w:space="0" w:color="auto"/>
            </w:tcBorders>
            <w:vAlign w:val="center"/>
          </w:tcPr>
          <w:p w14:paraId="263B5A18" w14:textId="77777777" w:rsidR="00903393" w:rsidRPr="00574D9E" w:rsidRDefault="00903393" w:rsidP="00C250EE">
            <w:pPr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0.02</w:t>
            </w:r>
          </w:p>
        </w:tc>
        <w:tc>
          <w:tcPr>
            <w:tcW w:w="1389" w:type="dxa"/>
            <w:tcBorders>
              <w:top w:val="single" w:sz="8" w:space="0" w:color="auto"/>
            </w:tcBorders>
            <w:vAlign w:val="center"/>
          </w:tcPr>
          <w:p w14:paraId="4DFC13EC" w14:textId="77777777" w:rsidR="00903393" w:rsidRPr="00574D9E" w:rsidRDefault="00903393" w:rsidP="00C250EE">
            <w:pPr>
              <w:jc w:val="center"/>
            </w:pPr>
            <w:r>
              <w:rPr>
                <w:rFonts w:ascii="Calibri" w:hAnsi="Calibri" w:cs="Calibri"/>
                <w:color w:val="000000"/>
                <w:szCs w:val="22"/>
              </w:rPr>
              <w:t>2.7</w:t>
            </w:r>
            <w:r>
              <w:rPr>
                <w:rFonts w:ascii="Calibri" w:hAnsi="Calibri" w:cs="Calibri" w:hint="eastAsia"/>
                <w:color w:val="000000"/>
                <w:szCs w:val="22"/>
              </w:rPr>
              <w:t>6</w:t>
            </w:r>
          </w:p>
        </w:tc>
      </w:tr>
      <w:tr w:rsidR="00903393" w:rsidRPr="00574D9E" w14:paraId="25CF5936" w14:textId="77777777" w:rsidTr="00C250EE">
        <w:trPr>
          <w:trHeight w:val="306"/>
          <w:jc w:val="center"/>
        </w:trPr>
        <w:tc>
          <w:tcPr>
            <w:tcW w:w="1031" w:type="dxa"/>
            <w:vMerge/>
            <w:vAlign w:val="center"/>
          </w:tcPr>
          <w:p w14:paraId="286C006D" w14:textId="77777777" w:rsidR="00903393" w:rsidRPr="00574D9E" w:rsidRDefault="00903393" w:rsidP="00C250EE">
            <w:pPr>
              <w:rPr>
                <w:sz w:val="24"/>
              </w:rPr>
            </w:pPr>
          </w:p>
        </w:tc>
        <w:tc>
          <w:tcPr>
            <w:tcW w:w="864" w:type="dxa"/>
            <w:vAlign w:val="center"/>
          </w:tcPr>
          <w:p w14:paraId="52591D61" w14:textId="77777777" w:rsidR="00903393" w:rsidRPr="00574D9E" w:rsidRDefault="00903393" w:rsidP="00C250EE">
            <w:pPr>
              <w:jc w:val="center"/>
              <w:rPr>
                <w:sz w:val="24"/>
              </w:rPr>
            </w:pPr>
            <w:r w:rsidRPr="00574D9E">
              <w:t>Female</w:t>
            </w:r>
          </w:p>
        </w:tc>
        <w:tc>
          <w:tcPr>
            <w:tcW w:w="1376" w:type="dxa"/>
          </w:tcPr>
          <w:p w14:paraId="3FC8EC87" w14:textId="77777777" w:rsidR="00903393" w:rsidRPr="00FC4369" w:rsidRDefault="00903393" w:rsidP="00C250EE">
            <w:pPr>
              <w:jc w:val="center"/>
            </w:pPr>
            <w:r w:rsidRPr="00FC4369">
              <w:t>5295.78</w:t>
            </w:r>
          </w:p>
        </w:tc>
        <w:tc>
          <w:tcPr>
            <w:tcW w:w="2391" w:type="dxa"/>
            <w:vAlign w:val="center"/>
          </w:tcPr>
          <w:p w14:paraId="1A26CC2A" w14:textId="77777777" w:rsidR="00903393" w:rsidRPr="00574D9E" w:rsidRDefault="00903393" w:rsidP="00C250EE">
            <w:pPr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389" w:type="dxa"/>
            <w:vAlign w:val="center"/>
          </w:tcPr>
          <w:p w14:paraId="5D7327EB" w14:textId="77777777" w:rsidR="00903393" w:rsidRPr="00574D9E" w:rsidRDefault="00903393" w:rsidP="00C250EE">
            <w:pPr>
              <w:jc w:val="center"/>
            </w:pPr>
            <w:r>
              <w:rPr>
                <w:rFonts w:ascii="Calibri" w:hAnsi="Calibri" w:cs="Calibri"/>
                <w:color w:val="000000"/>
                <w:szCs w:val="22"/>
              </w:rPr>
              <w:t>0.2</w:t>
            </w:r>
            <w:r>
              <w:rPr>
                <w:rFonts w:ascii="Calibri" w:hAnsi="Calibri" w:cs="Calibri" w:hint="eastAsia"/>
                <w:color w:val="000000"/>
                <w:szCs w:val="22"/>
              </w:rPr>
              <w:t>3</w:t>
            </w:r>
          </w:p>
        </w:tc>
      </w:tr>
      <w:tr w:rsidR="00903393" w:rsidRPr="00574D9E" w14:paraId="1E68454C" w14:textId="77777777" w:rsidTr="00C250EE">
        <w:trPr>
          <w:trHeight w:val="300"/>
          <w:jc w:val="center"/>
        </w:trPr>
        <w:tc>
          <w:tcPr>
            <w:tcW w:w="1031" w:type="dxa"/>
            <w:vMerge/>
            <w:vAlign w:val="center"/>
          </w:tcPr>
          <w:p w14:paraId="1E9E233E" w14:textId="77777777" w:rsidR="00903393" w:rsidRPr="00574D9E" w:rsidRDefault="00903393" w:rsidP="00C250EE">
            <w:pPr>
              <w:rPr>
                <w:sz w:val="24"/>
              </w:rPr>
            </w:pPr>
          </w:p>
        </w:tc>
        <w:tc>
          <w:tcPr>
            <w:tcW w:w="864" w:type="dxa"/>
            <w:vAlign w:val="center"/>
          </w:tcPr>
          <w:p w14:paraId="33BAC4F6" w14:textId="77777777" w:rsidR="00903393" w:rsidRPr="00574D9E" w:rsidRDefault="00903393" w:rsidP="00C250EE">
            <w:pPr>
              <w:jc w:val="center"/>
              <w:rPr>
                <w:sz w:val="24"/>
              </w:rPr>
            </w:pPr>
            <w:r w:rsidRPr="00574D9E">
              <w:t>Male</w:t>
            </w:r>
          </w:p>
        </w:tc>
        <w:tc>
          <w:tcPr>
            <w:tcW w:w="1376" w:type="dxa"/>
          </w:tcPr>
          <w:p w14:paraId="1F22D721" w14:textId="77777777" w:rsidR="00903393" w:rsidRPr="00FC4369" w:rsidRDefault="00903393" w:rsidP="00C250EE">
            <w:pPr>
              <w:jc w:val="center"/>
            </w:pPr>
            <w:r w:rsidRPr="00FC4369">
              <w:t>6195.01</w:t>
            </w:r>
          </w:p>
        </w:tc>
        <w:tc>
          <w:tcPr>
            <w:tcW w:w="2391" w:type="dxa"/>
            <w:vAlign w:val="center"/>
          </w:tcPr>
          <w:p w14:paraId="16A3C497" w14:textId="77777777" w:rsidR="00903393" w:rsidRPr="00574D9E" w:rsidRDefault="00903393" w:rsidP="00C250EE">
            <w:pPr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389" w:type="dxa"/>
            <w:vAlign w:val="center"/>
          </w:tcPr>
          <w:p w14:paraId="23B97FCB" w14:textId="77777777" w:rsidR="00903393" w:rsidRPr="00574D9E" w:rsidRDefault="00903393" w:rsidP="00C250EE">
            <w:pPr>
              <w:jc w:val="center"/>
            </w:pPr>
            <w:r>
              <w:rPr>
                <w:rFonts w:ascii="Calibri" w:hAnsi="Calibri" w:cs="Calibri"/>
                <w:color w:val="000000"/>
                <w:szCs w:val="22"/>
              </w:rPr>
              <w:t>0.13</w:t>
            </w:r>
          </w:p>
        </w:tc>
      </w:tr>
      <w:tr w:rsidR="00903393" w:rsidRPr="00574D9E" w14:paraId="63BF9625" w14:textId="77777777" w:rsidTr="00C250EE">
        <w:trPr>
          <w:trHeight w:val="306"/>
          <w:jc w:val="center"/>
        </w:trPr>
        <w:tc>
          <w:tcPr>
            <w:tcW w:w="1031" w:type="dxa"/>
            <w:vMerge w:val="restart"/>
            <w:vAlign w:val="center"/>
          </w:tcPr>
          <w:p w14:paraId="21373114" w14:textId="77777777" w:rsidR="00903393" w:rsidRPr="00574D9E" w:rsidRDefault="00903393" w:rsidP="00C250EE">
            <w:pPr>
              <w:rPr>
                <w:sz w:val="24"/>
              </w:rPr>
            </w:pPr>
            <w:r w:rsidRPr="00574D9E">
              <w:t>ASMR</w:t>
            </w:r>
          </w:p>
        </w:tc>
        <w:tc>
          <w:tcPr>
            <w:tcW w:w="864" w:type="dxa"/>
            <w:vAlign w:val="center"/>
          </w:tcPr>
          <w:p w14:paraId="5D629625" w14:textId="77777777" w:rsidR="00903393" w:rsidRPr="00574D9E" w:rsidRDefault="00903393" w:rsidP="00C250EE">
            <w:pPr>
              <w:jc w:val="center"/>
              <w:rPr>
                <w:sz w:val="24"/>
              </w:rPr>
            </w:pPr>
            <w:r w:rsidRPr="00574D9E">
              <w:t>Both</w:t>
            </w:r>
          </w:p>
        </w:tc>
        <w:tc>
          <w:tcPr>
            <w:tcW w:w="1376" w:type="dxa"/>
          </w:tcPr>
          <w:p w14:paraId="2A26E707" w14:textId="77777777" w:rsidR="00903393" w:rsidRPr="00FC4369" w:rsidRDefault="00903393" w:rsidP="00C250EE">
            <w:pPr>
              <w:jc w:val="center"/>
            </w:pPr>
            <w:r w:rsidRPr="00FC4369">
              <w:t>5487.47</w:t>
            </w:r>
          </w:p>
        </w:tc>
        <w:tc>
          <w:tcPr>
            <w:tcW w:w="2391" w:type="dxa"/>
            <w:vAlign w:val="center"/>
          </w:tcPr>
          <w:p w14:paraId="3179CC5D" w14:textId="77777777" w:rsidR="00903393" w:rsidRPr="00574D9E" w:rsidRDefault="00903393" w:rsidP="00C250EE">
            <w:pPr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389" w:type="dxa"/>
            <w:vAlign w:val="center"/>
          </w:tcPr>
          <w:p w14:paraId="28A1D6F1" w14:textId="77777777" w:rsidR="00903393" w:rsidRPr="00574D9E" w:rsidRDefault="00903393" w:rsidP="00C250EE">
            <w:pPr>
              <w:jc w:val="center"/>
            </w:pPr>
            <w:r>
              <w:rPr>
                <w:rFonts w:ascii="Calibri" w:hAnsi="Calibri" w:cs="Calibri"/>
                <w:color w:val="000000"/>
                <w:szCs w:val="22"/>
              </w:rPr>
              <w:t>0.7</w:t>
            </w:r>
            <w:r>
              <w:rPr>
                <w:rFonts w:ascii="Calibri" w:hAnsi="Calibri" w:cs="Calibri" w:hint="eastAsia"/>
                <w:color w:val="000000"/>
                <w:szCs w:val="22"/>
              </w:rPr>
              <w:t>9</w:t>
            </w:r>
          </w:p>
        </w:tc>
      </w:tr>
      <w:tr w:rsidR="00903393" w:rsidRPr="00574D9E" w14:paraId="1D13FE9B" w14:textId="77777777" w:rsidTr="00C250EE">
        <w:trPr>
          <w:trHeight w:val="306"/>
          <w:jc w:val="center"/>
        </w:trPr>
        <w:tc>
          <w:tcPr>
            <w:tcW w:w="1031" w:type="dxa"/>
            <w:vMerge/>
            <w:vAlign w:val="center"/>
          </w:tcPr>
          <w:p w14:paraId="47EFE4EE" w14:textId="77777777" w:rsidR="00903393" w:rsidRPr="00574D9E" w:rsidRDefault="00903393" w:rsidP="00C250EE">
            <w:pPr>
              <w:rPr>
                <w:sz w:val="24"/>
              </w:rPr>
            </w:pPr>
          </w:p>
        </w:tc>
        <w:tc>
          <w:tcPr>
            <w:tcW w:w="864" w:type="dxa"/>
            <w:vAlign w:val="center"/>
          </w:tcPr>
          <w:p w14:paraId="592E4FFB" w14:textId="77777777" w:rsidR="00903393" w:rsidRPr="00574D9E" w:rsidRDefault="00903393" w:rsidP="00C250EE">
            <w:pPr>
              <w:jc w:val="center"/>
              <w:rPr>
                <w:sz w:val="24"/>
              </w:rPr>
            </w:pPr>
            <w:r w:rsidRPr="00574D9E">
              <w:t>Female</w:t>
            </w:r>
          </w:p>
        </w:tc>
        <w:tc>
          <w:tcPr>
            <w:tcW w:w="1376" w:type="dxa"/>
          </w:tcPr>
          <w:p w14:paraId="60BF41FF" w14:textId="77777777" w:rsidR="00903393" w:rsidRPr="00FC4369" w:rsidRDefault="00903393" w:rsidP="00C250EE">
            <w:pPr>
              <w:jc w:val="center"/>
            </w:pPr>
            <w:r w:rsidRPr="00FC4369">
              <w:t>4487.36</w:t>
            </w:r>
          </w:p>
        </w:tc>
        <w:tc>
          <w:tcPr>
            <w:tcW w:w="2391" w:type="dxa"/>
            <w:vAlign w:val="center"/>
          </w:tcPr>
          <w:p w14:paraId="2453D078" w14:textId="77777777" w:rsidR="00903393" w:rsidRPr="00574D9E" w:rsidRDefault="00903393" w:rsidP="00C250EE">
            <w:pPr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389" w:type="dxa"/>
            <w:vAlign w:val="center"/>
          </w:tcPr>
          <w:p w14:paraId="3E715699" w14:textId="77777777" w:rsidR="00903393" w:rsidRPr="00574D9E" w:rsidRDefault="00903393" w:rsidP="00C250EE">
            <w:pPr>
              <w:jc w:val="center"/>
            </w:pPr>
            <w:r>
              <w:rPr>
                <w:rFonts w:ascii="Calibri" w:hAnsi="Calibri" w:cs="Calibri"/>
                <w:color w:val="000000"/>
                <w:szCs w:val="22"/>
              </w:rPr>
              <w:t>0.3</w:t>
            </w:r>
            <w:r>
              <w:rPr>
                <w:rFonts w:ascii="Calibri" w:hAnsi="Calibri" w:cs="Calibri" w:hint="eastAsia"/>
                <w:color w:val="000000"/>
                <w:szCs w:val="22"/>
              </w:rPr>
              <w:t>7</w:t>
            </w:r>
          </w:p>
        </w:tc>
      </w:tr>
      <w:tr w:rsidR="00903393" w:rsidRPr="00574D9E" w14:paraId="67EB01BC" w14:textId="77777777" w:rsidTr="00C250EE">
        <w:trPr>
          <w:trHeight w:val="306"/>
          <w:jc w:val="center"/>
        </w:trPr>
        <w:tc>
          <w:tcPr>
            <w:tcW w:w="1031" w:type="dxa"/>
            <w:vMerge/>
            <w:vAlign w:val="center"/>
          </w:tcPr>
          <w:p w14:paraId="231B3DAD" w14:textId="77777777" w:rsidR="00903393" w:rsidRPr="00574D9E" w:rsidRDefault="00903393" w:rsidP="00C250EE">
            <w:pPr>
              <w:rPr>
                <w:sz w:val="24"/>
              </w:rPr>
            </w:pPr>
          </w:p>
        </w:tc>
        <w:tc>
          <w:tcPr>
            <w:tcW w:w="864" w:type="dxa"/>
            <w:vAlign w:val="center"/>
          </w:tcPr>
          <w:p w14:paraId="6719E69E" w14:textId="77777777" w:rsidR="00903393" w:rsidRPr="00574D9E" w:rsidRDefault="00903393" w:rsidP="00C250EE">
            <w:pPr>
              <w:jc w:val="center"/>
              <w:rPr>
                <w:sz w:val="24"/>
              </w:rPr>
            </w:pPr>
            <w:r w:rsidRPr="00574D9E">
              <w:t>Male</w:t>
            </w:r>
          </w:p>
        </w:tc>
        <w:tc>
          <w:tcPr>
            <w:tcW w:w="1376" w:type="dxa"/>
          </w:tcPr>
          <w:p w14:paraId="67B13441" w14:textId="77777777" w:rsidR="00903393" w:rsidRPr="00FC4369" w:rsidRDefault="00903393" w:rsidP="00C250EE">
            <w:pPr>
              <w:jc w:val="center"/>
            </w:pPr>
            <w:r w:rsidRPr="00FC4369">
              <w:t>5360.62</w:t>
            </w:r>
          </w:p>
        </w:tc>
        <w:tc>
          <w:tcPr>
            <w:tcW w:w="2391" w:type="dxa"/>
            <w:vAlign w:val="center"/>
          </w:tcPr>
          <w:p w14:paraId="142EA14B" w14:textId="77777777" w:rsidR="00903393" w:rsidRPr="00574D9E" w:rsidRDefault="00903393" w:rsidP="00C250EE">
            <w:pPr>
              <w:jc w:val="center"/>
              <w:rPr>
                <w:sz w:val="24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0</w:t>
            </w:r>
          </w:p>
        </w:tc>
        <w:tc>
          <w:tcPr>
            <w:tcW w:w="1389" w:type="dxa"/>
            <w:vAlign w:val="center"/>
          </w:tcPr>
          <w:p w14:paraId="5BEE8180" w14:textId="77777777" w:rsidR="00903393" w:rsidRPr="00574D9E" w:rsidRDefault="00903393" w:rsidP="00C250EE">
            <w:pPr>
              <w:jc w:val="center"/>
            </w:pPr>
            <w:r>
              <w:rPr>
                <w:rFonts w:ascii="Calibri" w:hAnsi="Calibri" w:cs="Calibri"/>
                <w:color w:val="000000"/>
                <w:szCs w:val="22"/>
              </w:rPr>
              <w:t>0.26</w:t>
            </w:r>
          </w:p>
        </w:tc>
      </w:tr>
    </w:tbl>
    <w:p w14:paraId="3DAE7B43" w14:textId="77777777" w:rsidR="00903393" w:rsidRDefault="00903393" w:rsidP="009033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ASR, age-standardized rate; BAPC, Bayesian age-period-cohort; DIC, deviance information criterion; MAPE, mean absolute percentage error. The proportion of |Pearson residual| &gt; 3 was used to identify large residuals. ASR MAPE was calculated by comparing observed and BAPC-fitted age-standardized rates during 1990</w:t>
      </w:r>
      <w:r>
        <w:rPr>
          <w:rFonts w:ascii="Times New Roman" w:hAnsi="Times New Roman" w:cs="Times New Roman" w:hint="eastAsia"/>
        </w:rPr>
        <w:t>–</w:t>
      </w:r>
      <w:r>
        <w:rPr>
          <w:rFonts w:ascii="Times New Roman" w:hAnsi="Times New Roman" w:cs="Times New Roman" w:hint="eastAsia"/>
        </w:rPr>
        <w:t>2023.</w:t>
      </w:r>
    </w:p>
    <w:p w14:paraId="518D8276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D1"/>
    <w:rsid w:val="001F14C4"/>
    <w:rsid w:val="004244E6"/>
    <w:rsid w:val="0067415F"/>
    <w:rsid w:val="00903393"/>
    <w:rsid w:val="00D2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EC45F5-2B87-4748-92C7-A8D1DCB3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A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A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A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A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A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A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A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A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A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A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AD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0339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2026-06-27T01:08:00Z</dcterms:created>
  <dcterms:modified xsi:type="dcterms:W3CDTF">2026-06-27T01:08:00Z</dcterms:modified>
</cp:coreProperties>
</file>