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1C" w:rsidRDefault="00DF461C" w:rsidP="00DF461C">
      <w:pPr>
        <w:spacing w:line="48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Supplementary Fig. </w:t>
      </w:r>
      <w:r w:rsidR="009A1696">
        <w:rPr>
          <w:rFonts w:ascii="Times New Roman" w:eastAsia="Times New Roman" w:hAnsi="Times New Roman" w:cs="Times New Roman"/>
          <w:b/>
          <w:bCs/>
        </w:rPr>
        <w:t>11</w:t>
      </w:r>
      <w:r>
        <w:rPr>
          <w:rFonts w:ascii="Times New Roman" w:eastAsia="Times New Roman" w:hAnsi="Times New Roman" w:cs="Times New Roman"/>
          <w:b/>
          <w:bCs/>
        </w:rPr>
        <w:t xml:space="preserve">. Forest plot of the incidence of combined death in patients with decompensated hepatitis C cirrhosis and compensated patients treated with SOF-based DAA. </w:t>
      </w:r>
      <w:r>
        <w:rPr>
          <w:rFonts w:ascii="Times New Roman" w:eastAsia="Times New Roman" w:hAnsi="Times New Roman" w:cs="Times New Roman"/>
        </w:rPr>
        <w:t xml:space="preserve">The incidence of combined deaths was significantly higher in patients with decompensated than in compensated hepatitis C cirrhosis: 4.6% (95% CI: 3.1–6.3) vs. 0.5% (95% CI: 0.2–0.8), </w:t>
      </w:r>
      <w:r>
        <w:rPr>
          <w:rFonts w:ascii="Times New Roman" w:eastAsia="Times New Roman" w:hAnsi="Times New Roman" w:cs="Times New Roman"/>
          <w:i/>
          <w:iCs/>
        </w:rPr>
        <w:t>p&lt;</w:t>
      </w:r>
      <w:r>
        <w:rPr>
          <w:rFonts w:ascii="Times New Roman" w:eastAsia="Times New Roman" w:hAnsi="Times New Roman" w:cs="Times New Roman"/>
        </w:rPr>
        <w:t>0.0001). SOF: sofosbuvir; DC: decompensated cirrhosis; CC, compensated cirrhosis; Mortality, death.</w:t>
      </w:r>
    </w:p>
    <w:p w:rsidR="00DF461C" w:rsidRDefault="00DF461C" w:rsidP="00DF461C">
      <w:pPr>
        <w:spacing w:line="48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DF461C" w:rsidRDefault="00DF461C" w:rsidP="00DF461C">
      <w:pPr>
        <w:spacing w:line="48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等线" w:hAnsi="Times New Roman" w:cs="Times New Roman"/>
          <w:noProof/>
        </w:rPr>
        <w:drawing>
          <wp:inline distT="0" distB="0" distL="0" distR="0">
            <wp:extent cx="5943600" cy="4211320"/>
            <wp:effectExtent l="0" t="0" r="0" b="0"/>
            <wp:docPr id="19" name="Picture 3" descr="PS-Rplot-DC-CC-mort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S-Rplot-DC-CC-mortalit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5762" cy="421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61C" w:rsidRDefault="00DF461C" w:rsidP="00DF461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226261" w:rsidRDefault="00226261"/>
    <w:sectPr w:rsidR="00226261" w:rsidSect="002262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20"/>
  <w:characterSpacingControl w:val="doNotCompress"/>
  <w:compat>
    <w:useFELayout/>
  </w:compat>
  <w:rsids>
    <w:rsidRoot w:val="00DF461C"/>
    <w:rsid w:val="00226261"/>
    <w:rsid w:val="00467CF8"/>
    <w:rsid w:val="0065003A"/>
    <w:rsid w:val="009557AB"/>
    <w:rsid w:val="009A1696"/>
    <w:rsid w:val="00AE4E93"/>
    <w:rsid w:val="00CF44C3"/>
    <w:rsid w:val="00DF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1C"/>
    <w:pPr>
      <w:spacing w:after="200" w:line="276" w:lineRule="auto"/>
      <w:ind w:left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61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Wei</dc:creator>
  <cp:lastModifiedBy>Robin Wei</cp:lastModifiedBy>
  <cp:revision>2</cp:revision>
  <dcterms:created xsi:type="dcterms:W3CDTF">2022-06-12T02:18:00Z</dcterms:created>
  <dcterms:modified xsi:type="dcterms:W3CDTF">2022-06-12T02:49:00Z</dcterms:modified>
</cp:coreProperties>
</file>