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6" w:rsidRPr="002D1E44" w:rsidRDefault="00456646" w:rsidP="0045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E44">
        <w:rPr>
          <w:rFonts w:ascii="Times New Roman" w:eastAsia="等线" w:hAnsi="Times New Roman" w:cs="Times New Roman"/>
          <w:b/>
          <w:bCs/>
          <w:sz w:val="24"/>
          <w:szCs w:val="24"/>
        </w:rPr>
        <w:t>Table S4. Comparison of the predictive value for patients with HBV-ACLF in validation cohorts</w:t>
      </w:r>
    </w:p>
    <w:tbl>
      <w:tblPr>
        <w:tblW w:w="8257" w:type="dxa"/>
        <w:tblLook w:val="04A0"/>
      </w:tblPr>
      <w:tblGrid>
        <w:gridCol w:w="1134"/>
        <w:gridCol w:w="2066"/>
        <w:gridCol w:w="756"/>
        <w:gridCol w:w="756"/>
        <w:gridCol w:w="2033"/>
        <w:gridCol w:w="756"/>
        <w:gridCol w:w="756"/>
      </w:tblGrid>
      <w:tr w:rsidR="00456646" w:rsidRPr="002A0021" w:rsidTr="00867F9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AUC (95%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D1E4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p-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AUC (95%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D1E4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p-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456646" w:rsidRPr="002A0021" w:rsidTr="00867F9D">
        <w:trPr>
          <w:trHeight w:val="276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ACTIG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0.897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0.818-0.950)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0.878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0.794-0.937)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0.819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0.726-0.891)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2.414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0.737-0.899)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1.359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0.174</w:t>
            </w: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MELD-Na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0.825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0.733-0.896)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2.224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0.832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0.740-0.902)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1.267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0.205</w:t>
            </w: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iMELD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0.796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0.701-0.872)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2.518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0.803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0.708-0.878)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1.936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0.053</w:t>
            </w: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CLIF-C ACLFs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0.838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0.747-0.906)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1.286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0.823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0.730-0.895)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1.256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0.209</w:t>
            </w:r>
          </w:p>
        </w:tc>
      </w:tr>
      <w:tr w:rsidR="00456646" w:rsidRPr="002A0021" w:rsidTr="00867F9D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COSSH-ACLFs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0.863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0.777-0.926)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1.044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0.829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0.737-0.899)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1.490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0.136</w:t>
            </w:r>
          </w:p>
        </w:tc>
      </w:tr>
    </w:tbl>
    <w:p w:rsidR="00456646" w:rsidRPr="002A0021" w:rsidRDefault="00456646" w:rsidP="004566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0021">
        <w:rPr>
          <w:rFonts w:ascii="Times New Roman" w:hAnsi="Times New Roman" w:cs="Times New Roman"/>
          <w:sz w:val="24"/>
          <w:szCs w:val="24"/>
        </w:rPr>
        <w:t>CLIF‐C ACLF, Chronic Liver Failure Consortium Acute‐on‐Chronic Liver Failure score; COSSH‐ACLF: Chinese Group on the Study of Severe Hepatitis B; MELD: Model for End‐stage Liver Disease score; MELD-Na: MELD sodium; iMELD: the integrated MELD.</w:t>
      </w:r>
    </w:p>
    <w:sectPr w:rsidR="00456646" w:rsidRPr="002A0021" w:rsidSect="00794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lavika-Condense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47"/>
    <w:multiLevelType w:val="hybridMultilevel"/>
    <w:tmpl w:val="7D1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524"/>
    <w:multiLevelType w:val="hybridMultilevel"/>
    <w:tmpl w:val="3B26B264"/>
    <w:lvl w:ilvl="0" w:tplc="A8347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56646"/>
    <w:rsid w:val="002936DE"/>
    <w:rsid w:val="00456646"/>
    <w:rsid w:val="0079403D"/>
    <w:rsid w:val="00841CD1"/>
    <w:rsid w:val="00A2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3D"/>
  </w:style>
  <w:style w:type="paragraph" w:styleId="Heading1">
    <w:name w:val="heading 1"/>
    <w:basedOn w:val="Normal"/>
    <w:next w:val="Normal"/>
    <w:link w:val="Heading1Char"/>
    <w:uiPriority w:val="9"/>
    <w:qFormat/>
    <w:rsid w:val="00456646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46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56646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56646"/>
    <w:pPr>
      <w:widowControl w:val="0"/>
      <w:spacing w:after="0" w:line="240" w:lineRule="auto"/>
      <w:jc w:val="center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456646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566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56646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664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6646"/>
    <w:rPr>
      <w:kern w:val="2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456646"/>
    <w:rPr>
      <w:rFonts w:ascii="Klavika-Condensed" w:hAnsi="Klavika-Condensed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5664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456646"/>
    <w:pPr>
      <w:widowControl w:val="0"/>
      <w:spacing w:after="0" w:line="240" w:lineRule="auto"/>
      <w:jc w:val="both"/>
    </w:pPr>
    <w:rPr>
      <w:rFonts w:ascii="Times New Roman" w:hAnsi="Times New Roman" w:cs="Tahoma"/>
      <w:kern w:val="2"/>
      <w:sz w:val="24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46"/>
    <w:rPr>
      <w:rFonts w:ascii="Times New Roman" w:hAnsi="Times New Roman" w:cs="Tahoma"/>
      <w:kern w:val="2"/>
      <w:sz w:val="24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46"/>
    <w:pPr>
      <w:widowControl w:val="0"/>
      <w:spacing w:after="0" w:line="240" w:lineRule="auto"/>
      <w:jc w:val="both"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46"/>
    <w:rPr>
      <w:rFonts w:ascii="Segoe UI" w:hAnsi="Segoe UI" w:cs="Segoe UI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456646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45664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4566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6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2021-12-24T23:32:00Z</dcterms:created>
  <dcterms:modified xsi:type="dcterms:W3CDTF">2021-12-25T00:28:00Z</dcterms:modified>
</cp:coreProperties>
</file>