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A187" w14:textId="77777777" w:rsidR="00B13400" w:rsidRPr="00346441" w:rsidRDefault="00B13400" w:rsidP="00B13400">
      <w:pPr>
        <w:spacing w:line="480" w:lineRule="auto"/>
        <w:rPr>
          <w:rFonts w:ascii="Times New Roman" w:hAnsi="Times New Roman"/>
          <w:b/>
          <w:bCs/>
          <w:sz w:val="22"/>
          <w:szCs w:val="22"/>
        </w:rPr>
      </w:pPr>
      <w:r w:rsidRPr="00346441">
        <w:rPr>
          <w:rFonts w:ascii="Times New Roman" w:hAnsi="Times New Roman"/>
          <w:b/>
          <w:bCs/>
          <w:sz w:val="22"/>
          <w:szCs w:val="22"/>
        </w:rPr>
        <w:t xml:space="preserve">Supplementary Table </w:t>
      </w:r>
      <w:r w:rsidRPr="00134609">
        <w:rPr>
          <w:rFonts w:ascii="Times New Roman" w:hAnsi="Times New Roman"/>
          <w:b/>
          <w:bCs/>
          <w:color w:val="EE0000"/>
          <w:sz w:val="22"/>
          <w:szCs w:val="22"/>
        </w:rPr>
        <w:t>8</w:t>
      </w:r>
      <w:r w:rsidRPr="00346441">
        <w:rPr>
          <w:rFonts w:ascii="Times New Roman" w:hAnsi="Times New Roman"/>
          <w:b/>
          <w:bCs/>
          <w:sz w:val="22"/>
          <w:szCs w:val="22"/>
        </w:rPr>
        <w:t>: Organ-specific prevalence and mortality according to A-TANGO and Consensus ACLF definitions in the whole cohort and isolated organ failure subgroup in TIH cohort</w:t>
      </w:r>
    </w:p>
    <w:tbl>
      <w:tblPr>
        <w:tblStyle w:val="TableGrid"/>
        <w:tblW w:w="897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2"/>
        <w:gridCol w:w="1328"/>
        <w:gridCol w:w="1329"/>
        <w:gridCol w:w="854"/>
        <w:gridCol w:w="1331"/>
        <w:gridCol w:w="1331"/>
        <w:gridCol w:w="855"/>
      </w:tblGrid>
      <w:tr w:rsidR="00B13400" w:rsidRPr="00DD0F3C" w14:paraId="2BB509D4" w14:textId="77777777" w:rsidTr="004D51B7">
        <w:trPr>
          <w:trHeight w:val="317"/>
          <w:jc w:val="center"/>
        </w:trPr>
        <w:tc>
          <w:tcPr>
            <w:tcW w:w="1942" w:type="dxa"/>
            <w:tcBorders>
              <w:top w:val="single" w:sz="4" w:space="0" w:color="auto"/>
              <w:bottom w:val="nil"/>
            </w:tcBorders>
          </w:tcPr>
          <w:p w14:paraId="2FC0903C" w14:textId="77777777" w:rsidR="00B13400" w:rsidRPr="00DD0F3C" w:rsidRDefault="00B13400" w:rsidP="004D51B7">
            <w:pPr>
              <w:spacing w:line="480" w:lineRule="auto"/>
              <w:jc w:val="both"/>
              <w:rPr>
                <w:rFonts w:ascii="Times New Roman" w:hAnsi="Times New Roman"/>
                <w:b/>
                <w:bCs/>
                <w:sz w:val="18"/>
                <w:szCs w:val="18"/>
              </w:rPr>
            </w:pPr>
          </w:p>
        </w:tc>
        <w:tc>
          <w:tcPr>
            <w:tcW w:w="3513" w:type="dxa"/>
            <w:gridSpan w:val="3"/>
            <w:tcBorders>
              <w:top w:val="single" w:sz="4" w:space="0" w:color="auto"/>
              <w:bottom w:val="single" w:sz="4" w:space="0" w:color="auto"/>
            </w:tcBorders>
          </w:tcPr>
          <w:p w14:paraId="096A2B16" w14:textId="77777777" w:rsidR="00B13400" w:rsidRPr="00DD0F3C" w:rsidRDefault="00B13400" w:rsidP="004D51B7">
            <w:pPr>
              <w:spacing w:line="480" w:lineRule="auto"/>
              <w:jc w:val="center"/>
              <w:rPr>
                <w:rFonts w:ascii="Times New Roman" w:hAnsi="Times New Roman"/>
                <w:b/>
                <w:bCs/>
                <w:sz w:val="18"/>
                <w:szCs w:val="18"/>
              </w:rPr>
            </w:pPr>
            <w:r w:rsidRPr="00DD0F3C">
              <w:rPr>
                <w:rFonts w:ascii="Times New Roman" w:hAnsi="Times New Roman"/>
                <w:b/>
                <w:bCs/>
                <w:sz w:val="18"/>
                <w:szCs w:val="18"/>
              </w:rPr>
              <w:t>Whole cohort</w:t>
            </w:r>
          </w:p>
        </w:tc>
        <w:tc>
          <w:tcPr>
            <w:tcW w:w="3515" w:type="dxa"/>
            <w:gridSpan w:val="3"/>
            <w:tcBorders>
              <w:top w:val="single" w:sz="4" w:space="0" w:color="auto"/>
              <w:bottom w:val="single" w:sz="4" w:space="0" w:color="auto"/>
            </w:tcBorders>
          </w:tcPr>
          <w:p w14:paraId="4903A3F0" w14:textId="77777777" w:rsidR="00B13400" w:rsidRPr="00DD0F3C" w:rsidRDefault="00B13400" w:rsidP="004D51B7">
            <w:pPr>
              <w:spacing w:line="480" w:lineRule="auto"/>
              <w:jc w:val="center"/>
              <w:rPr>
                <w:rFonts w:ascii="Times New Roman" w:hAnsi="Times New Roman"/>
                <w:b/>
                <w:bCs/>
                <w:sz w:val="18"/>
                <w:szCs w:val="18"/>
              </w:rPr>
            </w:pPr>
            <w:r w:rsidRPr="00DD0F3C">
              <w:rPr>
                <w:rFonts w:ascii="Times New Roman" w:hAnsi="Times New Roman"/>
                <w:b/>
                <w:bCs/>
                <w:sz w:val="18"/>
                <w:szCs w:val="18"/>
              </w:rPr>
              <w:t>Single organ failure only</w:t>
            </w:r>
          </w:p>
        </w:tc>
      </w:tr>
      <w:tr w:rsidR="00B13400" w:rsidRPr="00DD0F3C" w14:paraId="520833FC" w14:textId="77777777" w:rsidTr="004D51B7">
        <w:trPr>
          <w:trHeight w:val="317"/>
          <w:jc w:val="center"/>
        </w:trPr>
        <w:tc>
          <w:tcPr>
            <w:tcW w:w="1942" w:type="dxa"/>
            <w:tcBorders>
              <w:top w:val="nil"/>
              <w:bottom w:val="single" w:sz="4" w:space="0" w:color="auto"/>
            </w:tcBorders>
          </w:tcPr>
          <w:p w14:paraId="5B46C31C" w14:textId="77777777" w:rsidR="00B13400" w:rsidRPr="00DD0F3C" w:rsidRDefault="00B13400" w:rsidP="004D51B7">
            <w:pPr>
              <w:spacing w:line="480" w:lineRule="auto"/>
              <w:jc w:val="both"/>
              <w:rPr>
                <w:rFonts w:ascii="Times New Roman" w:hAnsi="Times New Roman"/>
                <w:b/>
                <w:bCs/>
                <w:sz w:val="18"/>
                <w:szCs w:val="18"/>
              </w:rPr>
            </w:pPr>
            <w:r w:rsidRPr="00DD0F3C">
              <w:rPr>
                <w:rFonts w:ascii="Times New Roman" w:hAnsi="Times New Roman"/>
                <w:b/>
                <w:bCs/>
                <w:sz w:val="18"/>
                <w:szCs w:val="18"/>
              </w:rPr>
              <w:t>Organ failure</w:t>
            </w:r>
          </w:p>
        </w:tc>
        <w:tc>
          <w:tcPr>
            <w:tcW w:w="1329" w:type="dxa"/>
            <w:tcBorders>
              <w:top w:val="single" w:sz="4" w:space="0" w:color="auto"/>
              <w:bottom w:val="single" w:sz="4" w:space="0" w:color="auto"/>
            </w:tcBorders>
          </w:tcPr>
          <w:p w14:paraId="44B7F2BF" w14:textId="77777777" w:rsidR="00B13400" w:rsidRPr="00DD0F3C" w:rsidRDefault="00B13400" w:rsidP="004D51B7">
            <w:pPr>
              <w:spacing w:line="480" w:lineRule="auto"/>
              <w:jc w:val="center"/>
              <w:rPr>
                <w:rFonts w:ascii="Times New Roman" w:hAnsi="Times New Roman"/>
                <w:b/>
                <w:bCs/>
                <w:sz w:val="18"/>
                <w:szCs w:val="18"/>
              </w:rPr>
            </w:pPr>
            <w:r w:rsidRPr="00DD0F3C">
              <w:rPr>
                <w:rFonts w:ascii="Times New Roman" w:hAnsi="Times New Roman"/>
                <w:b/>
                <w:bCs/>
                <w:sz w:val="18"/>
                <w:szCs w:val="18"/>
              </w:rPr>
              <w:t>A-TANGO criteria (n=2398)</w:t>
            </w:r>
          </w:p>
        </w:tc>
        <w:tc>
          <w:tcPr>
            <w:tcW w:w="1330" w:type="dxa"/>
            <w:tcBorders>
              <w:top w:val="single" w:sz="4" w:space="0" w:color="auto"/>
              <w:bottom w:val="single" w:sz="4" w:space="0" w:color="auto"/>
            </w:tcBorders>
          </w:tcPr>
          <w:p w14:paraId="5FE8609A" w14:textId="77777777" w:rsidR="00B13400" w:rsidRPr="00DD0F3C" w:rsidRDefault="00B13400" w:rsidP="004D51B7">
            <w:pPr>
              <w:spacing w:line="480" w:lineRule="auto"/>
              <w:jc w:val="center"/>
              <w:rPr>
                <w:rFonts w:ascii="Times New Roman" w:hAnsi="Times New Roman"/>
                <w:b/>
                <w:bCs/>
                <w:sz w:val="18"/>
                <w:szCs w:val="18"/>
              </w:rPr>
            </w:pPr>
            <w:r w:rsidRPr="00DD0F3C">
              <w:rPr>
                <w:rFonts w:ascii="Times New Roman" w:hAnsi="Times New Roman"/>
                <w:b/>
                <w:bCs/>
                <w:sz w:val="18"/>
                <w:szCs w:val="18"/>
              </w:rPr>
              <w:t>Consensus criteria (n=2398)</w:t>
            </w:r>
          </w:p>
        </w:tc>
        <w:tc>
          <w:tcPr>
            <w:tcW w:w="854" w:type="dxa"/>
            <w:tcBorders>
              <w:top w:val="single" w:sz="4" w:space="0" w:color="auto"/>
              <w:bottom w:val="single" w:sz="4" w:space="0" w:color="auto"/>
            </w:tcBorders>
          </w:tcPr>
          <w:p w14:paraId="70CEDE44" w14:textId="77777777" w:rsidR="00B13400" w:rsidRPr="00DD0F3C" w:rsidRDefault="00B13400" w:rsidP="004D51B7">
            <w:pPr>
              <w:spacing w:line="480" w:lineRule="auto"/>
              <w:jc w:val="center"/>
              <w:rPr>
                <w:rFonts w:ascii="Times New Roman" w:hAnsi="Times New Roman"/>
                <w:b/>
                <w:bCs/>
                <w:sz w:val="18"/>
                <w:szCs w:val="18"/>
              </w:rPr>
            </w:pPr>
            <w:r w:rsidRPr="00DD0F3C">
              <w:rPr>
                <w:rFonts w:ascii="Times New Roman" w:hAnsi="Times New Roman"/>
                <w:b/>
                <w:bCs/>
                <w:sz w:val="18"/>
                <w:szCs w:val="18"/>
              </w:rPr>
              <w:t>p-value</w:t>
            </w:r>
          </w:p>
        </w:tc>
        <w:tc>
          <w:tcPr>
            <w:tcW w:w="1329" w:type="dxa"/>
            <w:tcBorders>
              <w:top w:val="single" w:sz="4" w:space="0" w:color="auto"/>
              <w:bottom w:val="single" w:sz="4" w:space="0" w:color="auto"/>
            </w:tcBorders>
          </w:tcPr>
          <w:p w14:paraId="4B31CD3D" w14:textId="77777777" w:rsidR="00B13400" w:rsidRPr="00DD0F3C" w:rsidRDefault="00B13400" w:rsidP="004D51B7">
            <w:pPr>
              <w:spacing w:line="480" w:lineRule="auto"/>
              <w:jc w:val="center"/>
              <w:rPr>
                <w:rFonts w:ascii="Times New Roman" w:hAnsi="Times New Roman"/>
                <w:b/>
                <w:bCs/>
                <w:sz w:val="18"/>
                <w:szCs w:val="18"/>
              </w:rPr>
            </w:pPr>
            <w:r w:rsidRPr="00DD0F3C">
              <w:rPr>
                <w:rFonts w:ascii="Times New Roman" w:hAnsi="Times New Roman"/>
                <w:b/>
                <w:bCs/>
                <w:sz w:val="18"/>
                <w:szCs w:val="18"/>
              </w:rPr>
              <w:t>A-TANGO criteria (n=714)</w:t>
            </w:r>
          </w:p>
        </w:tc>
        <w:tc>
          <w:tcPr>
            <w:tcW w:w="1331" w:type="dxa"/>
            <w:tcBorders>
              <w:top w:val="single" w:sz="4" w:space="0" w:color="auto"/>
              <w:bottom w:val="single" w:sz="4" w:space="0" w:color="auto"/>
            </w:tcBorders>
          </w:tcPr>
          <w:p w14:paraId="509B84C9" w14:textId="77777777" w:rsidR="00B13400" w:rsidRPr="00DD0F3C" w:rsidRDefault="00B13400" w:rsidP="004D51B7">
            <w:pPr>
              <w:spacing w:line="480" w:lineRule="auto"/>
              <w:jc w:val="center"/>
              <w:rPr>
                <w:rFonts w:ascii="Times New Roman" w:hAnsi="Times New Roman"/>
                <w:b/>
                <w:bCs/>
                <w:sz w:val="18"/>
                <w:szCs w:val="18"/>
              </w:rPr>
            </w:pPr>
            <w:r w:rsidRPr="00DD0F3C">
              <w:rPr>
                <w:rFonts w:ascii="Times New Roman" w:hAnsi="Times New Roman"/>
                <w:b/>
                <w:bCs/>
                <w:sz w:val="18"/>
                <w:szCs w:val="18"/>
              </w:rPr>
              <w:t>Consensus criteria</w:t>
            </w:r>
          </w:p>
          <w:p w14:paraId="7941F4DF" w14:textId="77777777" w:rsidR="00B13400" w:rsidRPr="00DD0F3C" w:rsidRDefault="00B13400" w:rsidP="004D51B7">
            <w:pPr>
              <w:spacing w:line="480" w:lineRule="auto"/>
              <w:jc w:val="center"/>
              <w:rPr>
                <w:rFonts w:ascii="Times New Roman" w:hAnsi="Times New Roman"/>
                <w:b/>
                <w:bCs/>
                <w:sz w:val="18"/>
                <w:szCs w:val="18"/>
              </w:rPr>
            </w:pPr>
            <w:r w:rsidRPr="00DD0F3C">
              <w:rPr>
                <w:rFonts w:ascii="Times New Roman" w:hAnsi="Times New Roman"/>
                <w:b/>
                <w:bCs/>
                <w:sz w:val="18"/>
                <w:szCs w:val="18"/>
              </w:rPr>
              <w:t>(n=844)</w:t>
            </w:r>
          </w:p>
        </w:tc>
        <w:tc>
          <w:tcPr>
            <w:tcW w:w="855" w:type="dxa"/>
            <w:tcBorders>
              <w:top w:val="single" w:sz="4" w:space="0" w:color="auto"/>
              <w:bottom w:val="single" w:sz="4" w:space="0" w:color="auto"/>
            </w:tcBorders>
          </w:tcPr>
          <w:p w14:paraId="725C17C1" w14:textId="77777777" w:rsidR="00B13400" w:rsidRPr="00DD0F3C" w:rsidRDefault="00B13400" w:rsidP="004D51B7">
            <w:pPr>
              <w:spacing w:line="480" w:lineRule="auto"/>
              <w:jc w:val="center"/>
              <w:rPr>
                <w:rFonts w:ascii="Times New Roman" w:hAnsi="Times New Roman"/>
                <w:b/>
                <w:bCs/>
                <w:sz w:val="18"/>
                <w:szCs w:val="18"/>
              </w:rPr>
            </w:pPr>
            <w:r w:rsidRPr="00DD0F3C">
              <w:rPr>
                <w:rFonts w:ascii="Times New Roman" w:hAnsi="Times New Roman"/>
                <w:b/>
                <w:bCs/>
                <w:sz w:val="18"/>
                <w:szCs w:val="18"/>
              </w:rPr>
              <w:t>-value</w:t>
            </w:r>
          </w:p>
        </w:tc>
      </w:tr>
      <w:tr w:rsidR="00B13400" w:rsidRPr="00DD0F3C" w14:paraId="0276808E" w14:textId="77777777" w:rsidTr="004D51B7">
        <w:trPr>
          <w:trHeight w:val="317"/>
          <w:jc w:val="center"/>
        </w:trPr>
        <w:tc>
          <w:tcPr>
            <w:tcW w:w="8970" w:type="dxa"/>
            <w:gridSpan w:val="7"/>
            <w:tcBorders>
              <w:top w:val="single" w:sz="4" w:space="0" w:color="auto"/>
            </w:tcBorders>
          </w:tcPr>
          <w:p w14:paraId="1FBF218A"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b/>
                <w:bCs/>
                <w:sz w:val="18"/>
                <w:szCs w:val="18"/>
              </w:rPr>
              <w:t xml:space="preserve">Liver </w:t>
            </w:r>
          </w:p>
        </w:tc>
      </w:tr>
      <w:tr w:rsidR="00B13400" w:rsidRPr="00DD0F3C" w14:paraId="14DD136F" w14:textId="77777777" w:rsidTr="004D51B7">
        <w:trPr>
          <w:trHeight w:val="317"/>
          <w:jc w:val="center"/>
        </w:trPr>
        <w:tc>
          <w:tcPr>
            <w:tcW w:w="1942" w:type="dxa"/>
          </w:tcPr>
          <w:p w14:paraId="172E7DC3"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Prevalence (n, %)</w:t>
            </w:r>
          </w:p>
        </w:tc>
        <w:tc>
          <w:tcPr>
            <w:tcW w:w="1329" w:type="dxa"/>
          </w:tcPr>
          <w:p w14:paraId="6D9B61D4"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877 (36.6)</w:t>
            </w:r>
          </w:p>
        </w:tc>
        <w:tc>
          <w:tcPr>
            <w:tcW w:w="1330" w:type="dxa"/>
          </w:tcPr>
          <w:p w14:paraId="7D04F780"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1667 (69.5)</w:t>
            </w:r>
          </w:p>
        </w:tc>
        <w:tc>
          <w:tcPr>
            <w:tcW w:w="854" w:type="dxa"/>
          </w:tcPr>
          <w:p w14:paraId="4297E282"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&lt;0.001</w:t>
            </w:r>
          </w:p>
        </w:tc>
        <w:tc>
          <w:tcPr>
            <w:tcW w:w="1329" w:type="dxa"/>
          </w:tcPr>
          <w:p w14:paraId="57D97C8D"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195 (27.3)</w:t>
            </w:r>
          </w:p>
        </w:tc>
        <w:tc>
          <w:tcPr>
            <w:tcW w:w="1331" w:type="dxa"/>
          </w:tcPr>
          <w:p w14:paraId="4D8C1992"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653 (77.4)</w:t>
            </w:r>
          </w:p>
        </w:tc>
        <w:tc>
          <w:tcPr>
            <w:tcW w:w="855" w:type="dxa"/>
          </w:tcPr>
          <w:p w14:paraId="12BDC28B"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color w:val="333333"/>
                <w:sz w:val="18"/>
                <w:szCs w:val="18"/>
                <w:lang w:eastAsia="en-IN"/>
              </w:rPr>
              <w:t>&lt;0.001</w:t>
            </w:r>
          </w:p>
        </w:tc>
      </w:tr>
      <w:tr w:rsidR="00B13400" w:rsidRPr="00DD0F3C" w14:paraId="61A085D7" w14:textId="77777777" w:rsidTr="004D51B7">
        <w:trPr>
          <w:trHeight w:val="317"/>
          <w:jc w:val="center"/>
        </w:trPr>
        <w:tc>
          <w:tcPr>
            <w:tcW w:w="1942" w:type="dxa"/>
          </w:tcPr>
          <w:p w14:paraId="003F4100"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28-day mortality (n, %)</w:t>
            </w:r>
          </w:p>
        </w:tc>
        <w:tc>
          <w:tcPr>
            <w:tcW w:w="1329" w:type="dxa"/>
          </w:tcPr>
          <w:p w14:paraId="15AD4EE8"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398 (45.4)</w:t>
            </w:r>
          </w:p>
        </w:tc>
        <w:tc>
          <w:tcPr>
            <w:tcW w:w="1330" w:type="dxa"/>
          </w:tcPr>
          <w:p w14:paraId="34B8CCB6"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689 (41.3)</w:t>
            </w:r>
          </w:p>
        </w:tc>
        <w:tc>
          <w:tcPr>
            <w:tcW w:w="854" w:type="dxa"/>
          </w:tcPr>
          <w:p w14:paraId="30922D54"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0.055</w:t>
            </w:r>
          </w:p>
        </w:tc>
        <w:tc>
          <w:tcPr>
            <w:tcW w:w="1329" w:type="dxa"/>
          </w:tcPr>
          <w:p w14:paraId="72E1B8F1"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46 (23.6)</w:t>
            </w:r>
          </w:p>
        </w:tc>
        <w:tc>
          <w:tcPr>
            <w:tcW w:w="1331" w:type="dxa"/>
          </w:tcPr>
          <w:p w14:paraId="5880F60D"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75 (11.5)</w:t>
            </w:r>
          </w:p>
        </w:tc>
        <w:tc>
          <w:tcPr>
            <w:tcW w:w="855" w:type="dxa"/>
          </w:tcPr>
          <w:p w14:paraId="666C3E57"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&lt;0.001</w:t>
            </w:r>
          </w:p>
        </w:tc>
      </w:tr>
      <w:tr w:rsidR="00B13400" w:rsidRPr="00DD0F3C" w14:paraId="350F7A7F" w14:textId="77777777" w:rsidTr="004D51B7">
        <w:trPr>
          <w:trHeight w:val="317"/>
          <w:jc w:val="center"/>
        </w:trPr>
        <w:tc>
          <w:tcPr>
            <w:tcW w:w="1942" w:type="dxa"/>
          </w:tcPr>
          <w:p w14:paraId="663B7B12"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90-day mortality (n, %)</w:t>
            </w:r>
          </w:p>
        </w:tc>
        <w:tc>
          <w:tcPr>
            <w:tcW w:w="1329" w:type="dxa"/>
          </w:tcPr>
          <w:p w14:paraId="12ED45F2"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492 (56.1)</w:t>
            </w:r>
          </w:p>
        </w:tc>
        <w:tc>
          <w:tcPr>
            <w:tcW w:w="1330" w:type="dxa"/>
          </w:tcPr>
          <w:p w14:paraId="33A117AD"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851 (51.0)</w:t>
            </w:r>
          </w:p>
        </w:tc>
        <w:tc>
          <w:tcPr>
            <w:tcW w:w="854" w:type="dxa"/>
          </w:tcPr>
          <w:p w14:paraId="46161B9E"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0.017</w:t>
            </w:r>
          </w:p>
        </w:tc>
        <w:tc>
          <w:tcPr>
            <w:tcW w:w="1329" w:type="dxa"/>
          </w:tcPr>
          <w:p w14:paraId="592E5915"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66 (33.8)</w:t>
            </w:r>
          </w:p>
        </w:tc>
        <w:tc>
          <w:tcPr>
            <w:tcW w:w="1331" w:type="dxa"/>
          </w:tcPr>
          <w:p w14:paraId="621C6EEA"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146 (22.4)</w:t>
            </w:r>
          </w:p>
        </w:tc>
        <w:tc>
          <w:tcPr>
            <w:tcW w:w="855" w:type="dxa"/>
          </w:tcPr>
          <w:p w14:paraId="77D8039C"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0.002</w:t>
            </w:r>
          </w:p>
        </w:tc>
      </w:tr>
      <w:tr w:rsidR="00B13400" w:rsidRPr="00DD0F3C" w14:paraId="4E4045AA" w14:textId="77777777" w:rsidTr="004D51B7">
        <w:trPr>
          <w:trHeight w:val="317"/>
          <w:jc w:val="center"/>
        </w:trPr>
        <w:tc>
          <w:tcPr>
            <w:tcW w:w="8970" w:type="dxa"/>
            <w:gridSpan w:val="7"/>
          </w:tcPr>
          <w:p w14:paraId="2DDB39AC"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b/>
                <w:bCs/>
                <w:sz w:val="18"/>
                <w:szCs w:val="18"/>
              </w:rPr>
              <w:t>Renal</w:t>
            </w:r>
          </w:p>
        </w:tc>
      </w:tr>
      <w:tr w:rsidR="00B13400" w:rsidRPr="00DD0F3C" w14:paraId="3F81D9E1" w14:textId="77777777" w:rsidTr="004D51B7">
        <w:trPr>
          <w:trHeight w:val="317"/>
          <w:jc w:val="center"/>
        </w:trPr>
        <w:tc>
          <w:tcPr>
            <w:tcW w:w="1942" w:type="dxa"/>
          </w:tcPr>
          <w:p w14:paraId="12BD5DDB"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Prevalence (n, %)</w:t>
            </w:r>
          </w:p>
        </w:tc>
        <w:tc>
          <w:tcPr>
            <w:tcW w:w="1329" w:type="dxa"/>
          </w:tcPr>
          <w:p w14:paraId="05C65EE6"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632 (26.4)</w:t>
            </w:r>
          </w:p>
        </w:tc>
        <w:tc>
          <w:tcPr>
            <w:tcW w:w="1330" w:type="dxa"/>
          </w:tcPr>
          <w:p w14:paraId="263343D8"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632 (26.4)</w:t>
            </w:r>
          </w:p>
        </w:tc>
        <w:tc>
          <w:tcPr>
            <w:tcW w:w="854" w:type="dxa"/>
          </w:tcPr>
          <w:p w14:paraId="17BE8858"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1.000</w:t>
            </w:r>
          </w:p>
        </w:tc>
        <w:tc>
          <w:tcPr>
            <w:tcW w:w="1329" w:type="dxa"/>
          </w:tcPr>
          <w:p w14:paraId="03814767"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104 (14.6)</w:t>
            </w:r>
          </w:p>
        </w:tc>
        <w:tc>
          <w:tcPr>
            <w:tcW w:w="1331" w:type="dxa"/>
          </w:tcPr>
          <w:p w14:paraId="119CED13"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96 (11.4)</w:t>
            </w:r>
          </w:p>
        </w:tc>
        <w:tc>
          <w:tcPr>
            <w:tcW w:w="855" w:type="dxa"/>
          </w:tcPr>
          <w:p w14:paraId="4C3F9D49"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0.613</w:t>
            </w:r>
          </w:p>
        </w:tc>
      </w:tr>
      <w:tr w:rsidR="00B13400" w:rsidRPr="00DD0F3C" w14:paraId="4F9469B2" w14:textId="77777777" w:rsidTr="004D51B7">
        <w:trPr>
          <w:trHeight w:val="317"/>
          <w:jc w:val="center"/>
        </w:trPr>
        <w:tc>
          <w:tcPr>
            <w:tcW w:w="1942" w:type="dxa"/>
          </w:tcPr>
          <w:p w14:paraId="739056D7"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28-day mortality (n, %)</w:t>
            </w:r>
          </w:p>
        </w:tc>
        <w:tc>
          <w:tcPr>
            <w:tcW w:w="1329" w:type="dxa"/>
          </w:tcPr>
          <w:p w14:paraId="0360689A"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343 (54.3)</w:t>
            </w:r>
          </w:p>
        </w:tc>
        <w:tc>
          <w:tcPr>
            <w:tcW w:w="1330" w:type="dxa"/>
          </w:tcPr>
          <w:p w14:paraId="24997E0A"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343 (54.3)</w:t>
            </w:r>
          </w:p>
        </w:tc>
        <w:tc>
          <w:tcPr>
            <w:tcW w:w="854" w:type="dxa"/>
          </w:tcPr>
          <w:p w14:paraId="2F8511E9"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1.000</w:t>
            </w:r>
          </w:p>
        </w:tc>
        <w:tc>
          <w:tcPr>
            <w:tcW w:w="1329" w:type="dxa"/>
          </w:tcPr>
          <w:p w14:paraId="1F0CEE0A"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27 (26)</w:t>
            </w:r>
          </w:p>
        </w:tc>
        <w:tc>
          <w:tcPr>
            <w:tcW w:w="1331" w:type="dxa"/>
          </w:tcPr>
          <w:p w14:paraId="4E14B9AB"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13 (13.5)</w:t>
            </w:r>
          </w:p>
        </w:tc>
        <w:tc>
          <w:tcPr>
            <w:tcW w:w="855" w:type="dxa"/>
          </w:tcPr>
          <w:p w14:paraId="0C23AC44"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0.044</w:t>
            </w:r>
          </w:p>
        </w:tc>
      </w:tr>
      <w:tr w:rsidR="00B13400" w:rsidRPr="00DD0F3C" w14:paraId="470B69D9" w14:textId="77777777" w:rsidTr="004D51B7">
        <w:trPr>
          <w:trHeight w:val="317"/>
          <w:jc w:val="center"/>
        </w:trPr>
        <w:tc>
          <w:tcPr>
            <w:tcW w:w="1942" w:type="dxa"/>
          </w:tcPr>
          <w:p w14:paraId="0BA7A5F6"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90-day mortality (n, %)</w:t>
            </w:r>
          </w:p>
        </w:tc>
        <w:tc>
          <w:tcPr>
            <w:tcW w:w="1329" w:type="dxa"/>
          </w:tcPr>
          <w:p w14:paraId="39968F1B"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411 (65.0)</w:t>
            </w:r>
          </w:p>
        </w:tc>
        <w:tc>
          <w:tcPr>
            <w:tcW w:w="1330" w:type="dxa"/>
          </w:tcPr>
          <w:p w14:paraId="5FFCD640"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411 (65.0)</w:t>
            </w:r>
          </w:p>
        </w:tc>
        <w:tc>
          <w:tcPr>
            <w:tcW w:w="854" w:type="dxa"/>
          </w:tcPr>
          <w:p w14:paraId="01B42E1E"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1.000</w:t>
            </w:r>
          </w:p>
        </w:tc>
        <w:tc>
          <w:tcPr>
            <w:tcW w:w="1329" w:type="dxa"/>
          </w:tcPr>
          <w:p w14:paraId="7859F8B5"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46 (44.2)</w:t>
            </w:r>
          </w:p>
        </w:tc>
        <w:tc>
          <w:tcPr>
            <w:tcW w:w="1331" w:type="dxa"/>
          </w:tcPr>
          <w:p w14:paraId="2EA7205C"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31 (32.3)</w:t>
            </w:r>
          </w:p>
        </w:tc>
        <w:tc>
          <w:tcPr>
            <w:tcW w:w="855" w:type="dxa"/>
          </w:tcPr>
          <w:p w14:paraId="5C91237D"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0.112</w:t>
            </w:r>
          </w:p>
        </w:tc>
      </w:tr>
      <w:tr w:rsidR="00B13400" w:rsidRPr="00DD0F3C" w14:paraId="3F640DF0" w14:textId="77777777" w:rsidTr="004D51B7">
        <w:trPr>
          <w:trHeight w:val="317"/>
          <w:jc w:val="center"/>
        </w:trPr>
        <w:tc>
          <w:tcPr>
            <w:tcW w:w="8970" w:type="dxa"/>
            <w:gridSpan w:val="7"/>
          </w:tcPr>
          <w:p w14:paraId="1BE871D7"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b/>
                <w:bCs/>
                <w:sz w:val="18"/>
                <w:szCs w:val="18"/>
              </w:rPr>
              <w:t xml:space="preserve">Cerebral  </w:t>
            </w:r>
          </w:p>
        </w:tc>
      </w:tr>
      <w:tr w:rsidR="00B13400" w:rsidRPr="00DD0F3C" w14:paraId="4CAD2C53" w14:textId="77777777" w:rsidTr="004D51B7">
        <w:trPr>
          <w:trHeight w:val="317"/>
          <w:jc w:val="center"/>
        </w:trPr>
        <w:tc>
          <w:tcPr>
            <w:tcW w:w="1942" w:type="dxa"/>
          </w:tcPr>
          <w:p w14:paraId="7C7778F1"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Prevalence (n, %)</w:t>
            </w:r>
          </w:p>
        </w:tc>
        <w:tc>
          <w:tcPr>
            <w:tcW w:w="1329" w:type="dxa"/>
          </w:tcPr>
          <w:p w14:paraId="0E679DB4"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314 (13.1)</w:t>
            </w:r>
          </w:p>
        </w:tc>
        <w:tc>
          <w:tcPr>
            <w:tcW w:w="1330" w:type="dxa"/>
          </w:tcPr>
          <w:p w14:paraId="3819C873"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760 (31.7)</w:t>
            </w:r>
          </w:p>
        </w:tc>
        <w:tc>
          <w:tcPr>
            <w:tcW w:w="854" w:type="dxa"/>
          </w:tcPr>
          <w:p w14:paraId="502BB73F"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&lt;0.001</w:t>
            </w:r>
          </w:p>
        </w:tc>
        <w:tc>
          <w:tcPr>
            <w:tcW w:w="1329" w:type="dxa"/>
          </w:tcPr>
          <w:p w14:paraId="3821D310"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23 (3.2)</w:t>
            </w:r>
          </w:p>
        </w:tc>
        <w:tc>
          <w:tcPr>
            <w:tcW w:w="1331" w:type="dxa"/>
          </w:tcPr>
          <w:p w14:paraId="04AAEB3A"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57 (6.8)</w:t>
            </w:r>
          </w:p>
        </w:tc>
        <w:tc>
          <w:tcPr>
            <w:tcW w:w="855" w:type="dxa"/>
          </w:tcPr>
          <w:p w14:paraId="2C0EBE74"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&lt;0.001</w:t>
            </w:r>
          </w:p>
        </w:tc>
      </w:tr>
      <w:tr w:rsidR="00B13400" w:rsidRPr="00DD0F3C" w14:paraId="2B109FB5" w14:textId="77777777" w:rsidTr="004D51B7">
        <w:trPr>
          <w:trHeight w:val="317"/>
          <w:jc w:val="center"/>
        </w:trPr>
        <w:tc>
          <w:tcPr>
            <w:tcW w:w="1942" w:type="dxa"/>
          </w:tcPr>
          <w:p w14:paraId="2A8A513B"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28-day mortality (n, %)</w:t>
            </w:r>
          </w:p>
        </w:tc>
        <w:tc>
          <w:tcPr>
            <w:tcW w:w="1329" w:type="dxa"/>
          </w:tcPr>
          <w:p w14:paraId="175B1F8D"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242 (77.1)</w:t>
            </w:r>
          </w:p>
        </w:tc>
        <w:tc>
          <w:tcPr>
            <w:tcW w:w="1330" w:type="dxa"/>
          </w:tcPr>
          <w:p w14:paraId="1DD612E8"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681 (89.6)</w:t>
            </w:r>
          </w:p>
        </w:tc>
        <w:tc>
          <w:tcPr>
            <w:tcW w:w="854" w:type="dxa"/>
          </w:tcPr>
          <w:p w14:paraId="38A007FA"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&lt;0.001</w:t>
            </w:r>
          </w:p>
        </w:tc>
        <w:tc>
          <w:tcPr>
            <w:tcW w:w="1329" w:type="dxa"/>
          </w:tcPr>
          <w:p w14:paraId="6E5ED669"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10 (43.5)</w:t>
            </w:r>
          </w:p>
        </w:tc>
        <w:tc>
          <w:tcPr>
            <w:tcW w:w="1331" w:type="dxa"/>
          </w:tcPr>
          <w:p w14:paraId="47547D1E"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40 (70.2)</w:t>
            </w:r>
          </w:p>
        </w:tc>
        <w:tc>
          <w:tcPr>
            <w:tcW w:w="855" w:type="dxa"/>
          </w:tcPr>
          <w:p w14:paraId="0F50D539"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0.048</w:t>
            </w:r>
          </w:p>
        </w:tc>
      </w:tr>
      <w:tr w:rsidR="00B13400" w:rsidRPr="00DD0F3C" w14:paraId="3CAFD191" w14:textId="77777777" w:rsidTr="004D51B7">
        <w:trPr>
          <w:trHeight w:val="317"/>
          <w:jc w:val="center"/>
        </w:trPr>
        <w:tc>
          <w:tcPr>
            <w:tcW w:w="1942" w:type="dxa"/>
          </w:tcPr>
          <w:p w14:paraId="37CBBED7"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90-day mortality (n, %)</w:t>
            </w:r>
          </w:p>
        </w:tc>
        <w:tc>
          <w:tcPr>
            <w:tcW w:w="1329" w:type="dxa"/>
          </w:tcPr>
          <w:p w14:paraId="1E652103"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253 (80.6)</w:t>
            </w:r>
          </w:p>
        </w:tc>
        <w:tc>
          <w:tcPr>
            <w:tcW w:w="1330" w:type="dxa"/>
          </w:tcPr>
          <w:p w14:paraId="28B040F0"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694 (91.3)</w:t>
            </w:r>
          </w:p>
        </w:tc>
        <w:tc>
          <w:tcPr>
            <w:tcW w:w="854" w:type="dxa"/>
          </w:tcPr>
          <w:p w14:paraId="0CB810A8"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&lt;0.001</w:t>
            </w:r>
          </w:p>
        </w:tc>
        <w:tc>
          <w:tcPr>
            <w:tcW w:w="1329" w:type="dxa"/>
          </w:tcPr>
          <w:p w14:paraId="0C63ABDD"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11 (47.8)</w:t>
            </w:r>
          </w:p>
        </w:tc>
        <w:tc>
          <w:tcPr>
            <w:tcW w:w="1331" w:type="dxa"/>
          </w:tcPr>
          <w:p w14:paraId="66C504EA"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42 (73.7)</w:t>
            </w:r>
          </w:p>
        </w:tc>
        <w:tc>
          <w:tcPr>
            <w:tcW w:w="855" w:type="dxa"/>
          </w:tcPr>
          <w:p w14:paraId="2F5A77B9"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0.051</w:t>
            </w:r>
          </w:p>
        </w:tc>
      </w:tr>
      <w:tr w:rsidR="00B13400" w:rsidRPr="00DD0F3C" w14:paraId="7CDDA127" w14:textId="77777777" w:rsidTr="004D51B7">
        <w:trPr>
          <w:trHeight w:val="317"/>
          <w:jc w:val="center"/>
        </w:trPr>
        <w:tc>
          <w:tcPr>
            <w:tcW w:w="8970" w:type="dxa"/>
            <w:gridSpan w:val="7"/>
          </w:tcPr>
          <w:p w14:paraId="40078DF4"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b/>
                <w:bCs/>
                <w:sz w:val="18"/>
                <w:szCs w:val="18"/>
              </w:rPr>
              <w:t>Circulatory</w:t>
            </w:r>
          </w:p>
        </w:tc>
      </w:tr>
      <w:tr w:rsidR="00B13400" w:rsidRPr="00DD0F3C" w14:paraId="39F64934" w14:textId="77777777" w:rsidTr="004D51B7">
        <w:trPr>
          <w:trHeight w:val="317"/>
          <w:jc w:val="center"/>
        </w:trPr>
        <w:tc>
          <w:tcPr>
            <w:tcW w:w="1942" w:type="dxa"/>
          </w:tcPr>
          <w:p w14:paraId="5D7C5B5D"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Prevalence (n, %)</w:t>
            </w:r>
          </w:p>
        </w:tc>
        <w:tc>
          <w:tcPr>
            <w:tcW w:w="1329" w:type="dxa"/>
          </w:tcPr>
          <w:p w14:paraId="06C9E4EB"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696 (29)</w:t>
            </w:r>
          </w:p>
        </w:tc>
        <w:tc>
          <w:tcPr>
            <w:tcW w:w="1330" w:type="dxa"/>
          </w:tcPr>
          <w:p w14:paraId="0A5FAE97"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640 (26.7)</w:t>
            </w:r>
          </w:p>
        </w:tc>
        <w:tc>
          <w:tcPr>
            <w:tcW w:w="854" w:type="dxa"/>
          </w:tcPr>
          <w:p w14:paraId="13B99892"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0.076</w:t>
            </w:r>
          </w:p>
        </w:tc>
        <w:tc>
          <w:tcPr>
            <w:tcW w:w="1329" w:type="dxa"/>
          </w:tcPr>
          <w:p w14:paraId="521ED7FA"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71 (9.9)</w:t>
            </w:r>
          </w:p>
        </w:tc>
        <w:tc>
          <w:tcPr>
            <w:tcW w:w="1331" w:type="dxa"/>
          </w:tcPr>
          <w:p w14:paraId="045081D8"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22 (2.6)</w:t>
            </w:r>
          </w:p>
        </w:tc>
        <w:tc>
          <w:tcPr>
            <w:tcW w:w="855" w:type="dxa"/>
          </w:tcPr>
          <w:p w14:paraId="1F91DDCA"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color w:val="333333"/>
                <w:sz w:val="18"/>
                <w:szCs w:val="18"/>
                <w:lang w:eastAsia="en-IN"/>
              </w:rPr>
              <w:t>&lt;0.001</w:t>
            </w:r>
          </w:p>
        </w:tc>
      </w:tr>
      <w:tr w:rsidR="00B13400" w:rsidRPr="00DD0F3C" w14:paraId="0687C7FA" w14:textId="77777777" w:rsidTr="004D51B7">
        <w:trPr>
          <w:trHeight w:val="317"/>
          <w:jc w:val="center"/>
        </w:trPr>
        <w:tc>
          <w:tcPr>
            <w:tcW w:w="1942" w:type="dxa"/>
          </w:tcPr>
          <w:p w14:paraId="386319EC"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28-day mortality (n, %)</w:t>
            </w:r>
          </w:p>
        </w:tc>
        <w:tc>
          <w:tcPr>
            <w:tcW w:w="1329" w:type="dxa"/>
          </w:tcPr>
          <w:p w14:paraId="4CE637E5"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444 (63.8)</w:t>
            </w:r>
          </w:p>
        </w:tc>
        <w:tc>
          <w:tcPr>
            <w:tcW w:w="1330" w:type="dxa"/>
          </w:tcPr>
          <w:p w14:paraId="36FB18C5"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420 (65.6)</w:t>
            </w:r>
          </w:p>
        </w:tc>
        <w:tc>
          <w:tcPr>
            <w:tcW w:w="854" w:type="dxa"/>
          </w:tcPr>
          <w:p w14:paraId="59F20978"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0.521</w:t>
            </w:r>
          </w:p>
        </w:tc>
        <w:tc>
          <w:tcPr>
            <w:tcW w:w="1329" w:type="dxa"/>
          </w:tcPr>
          <w:p w14:paraId="35621A82"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27 (38.0)</w:t>
            </w:r>
          </w:p>
        </w:tc>
        <w:tc>
          <w:tcPr>
            <w:tcW w:w="1331" w:type="dxa"/>
          </w:tcPr>
          <w:p w14:paraId="0F9FC5DF"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2 (11.1)</w:t>
            </w:r>
          </w:p>
        </w:tc>
        <w:tc>
          <w:tcPr>
            <w:tcW w:w="855" w:type="dxa"/>
          </w:tcPr>
          <w:p w14:paraId="7F76AAEA"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0.058</w:t>
            </w:r>
          </w:p>
        </w:tc>
      </w:tr>
      <w:tr w:rsidR="00B13400" w:rsidRPr="00DD0F3C" w14:paraId="201330A3" w14:textId="77777777" w:rsidTr="004D51B7">
        <w:trPr>
          <w:trHeight w:val="317"/>
          <w:jc w:val="center"/>
        </w:trPr>
        <w:tc>
          <w:tcPr>
            <w:tcW w:w="1942" w:type="dxa"/>
          </w:tcPr>
          <w:p w14:paraId="220F63C4"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90-day mortality (n, %)</w:t>
            </w:r>
          </w:p>
        </w:tc>
        <w:tc>
          <w:tcPr>
            <w:tcW w:w="1329" w:type="dxa"/>
          </w:tcPr>
          <w:p w14:paraId="4373148B"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503 (72.3)</w:t>
            </w:r>
          </w:p>
        </w:tc>
        <w:tc>
          <w:tcPr>
            <w:tcW w:w="1330" w:type="dxa"/>
          </w:tcPr>
          <w:p w14:paraId="30E7F722"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474 (74.1)</w:t>
            </w:r>
          </w:p>
        </w:tc>
        <w:tc>
          <w:tcPr>
            <w:tcW w:w="854" w:type="dxa"/>
          </w:tcPr>
          <w:p w14:paraId="4E0096A3"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0.499</w:t>
            </w:r>
          </w:p>
        </w:tc>
        <w:tc>
          <w:tcPr>
            <w:tcW w:w="1329" w:type="dxa"/>
          </w:tcPr>
          <w:p w14:paraId="079FC967"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35 (49.3)</w:t>
            </w:r>
          </w:p>
        </w:tc>
        <w:tc>
          <w:tcPr>
            <w:tcW w:w="1331" w:type="dxa"/>
          </w:tcPr>
          <w:p w14:paraId="17FE3442"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4 (22.2)</w:t>
            </w:r>
          </w:p>
        </w:tc>
        <w:tc>
          <w:tcPr>
            <w:tcW w:w="855" w:type="dxa"/>
          </w:tcPr>
          <w:p w14:paraId="0E279887"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0.072</w:t>
            </w:r>
          </w:p>
        </w:tc>
      </w:tr>
      <w:tr w:rsidR="00B13400" w:rsidRPr="00DD0F3C" w14:paraId="25AAD38B" w14:textId="77777777" w:rsidTr="004D51B7">
        <w:trPr>
          <w:trHeight w:val="317"/>
          <w:jc w:val="center"/>
        </w:trPr>
        <w:tc>
          <w:tcPr>
            <w:tcW w:w="8970" w:type="dxa"/>
            <w:gridSpan w:val="7"/>
          </w:tcPr>
          <w:p w14:paraId="1B3D9C88"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b/>
                <w:bCs/>
                <w:sz w:val="18"/>
                <w:szCs w:val="18"/>
              </w:rPr>
              <w:lastRenderedPageBreak/>
              <w:t>Respiratory</w:t>
            </w:r>
          </w:p>
        </w:tc>
      </w:tr>
      <w:tr w:rsidR="00B13400" w:rsidRPr="00DD0F3C" w14:paraId="501A4637" w14:textId="77777777" w:rsidTr="004D51B7">
        <w:trPr>
          <w:trHeight w:val="317"/>
          <w:jc w:val="center"/>
        </w:trPr>
        <w:tc>
          <w:tcPr>
            <w:tcW w:w="1942" w:type="dxa"/>
          </w:tcPr>
          <w:p w14:paraId="25822F93"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Prevalence (n, %)</w:t>
            </w:r>
          </w:p>
        </w:tc>
        <w:tc>
          <w:tcPr>
            <w:tcW w:w="1329" w:type="dxa"/>
          </w:tcPr>
          <w:p w14:paraId="0E67D719"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408 (17)</w:t>
            </w:r>
          </w:p>
        </w:tc>
        <w:tc>
          <w:tcPr>
            <w:tcW w:w="1330" w:type="dxa"/>
          </w:tcPr>
          <w:p w14:paraId="40B39281"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475 (19.8)</w:t>
            </w:r>
          </w:p>
        </w:tc>
        <w:tc>
          <w:tcPr>
            <w:tcW w:w="854" w:type="dxa"/>
          </w:tcPr>
          <w:p w14:paraId="44083016"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0.014</w:t>
            </w:r>
          </w:p>
        </w:tc>
        <w:tc>
          <w:tcPr>
            <w:tcW w:w="1329" w:type="dxa"/>
          </w:tcPr>
          <w:p w14:paraId="092991F0"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29 (4.2)</w:t>
            </w:r>
          </w:p>
        </w:tc>
        <w:tc>
          <w:tcPr>
            <w:tcW w:w="1331" w:type="dxa"/>
          </w:tcPr>
          <w:p w14:paraId="1AD064C7"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16 (1.9)</w:t>
            </w:r>
          </w:p>
        </w:tc>
        <w:tc>
          <w:tcPr>
            <w:tcW w:w="855" w:type="dxa"/>
          </w:tcPr>
          <w:p w14:paraId="47B6EFCC"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color w:val="333333"/>
                <w:sz w:val="18"/>
                <w:szCs w:val="18"/>
                <w:lang w:eastAsia="en-IN"/>
              </w:rPr>
              <w:t>0.028</w:t>
            </w:r>
          </w:p>
        </w:tc>
      </w:tr>
      <w:tr w:rsidR="00B13400" w:rsidRPr="00DD0F3C" w14:paraId="7E5775A2" w14:textId="77777777" w:rsidTr="004D51B7">
        <w:trPr>
          <w:trHeight w:val="317"/>
          <w:jc w:val="center"/>
        </w:trPr>
        <w:tc>
          <w:tcPr>
            <w:tcW w:w="1942" w:type="dxa"/>
          </w:tcPr>
          <w:p w14:paraId="1B049568"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28-day mortality (n, %)</w:t>
            </w:r>
          </w:p>
        </w:tc>
        <w:tc>
          <w:tcPr>
            <w:tcW w:w="1329" w:type="dxa"/>
          </w:tcPr>
          <w:p w14:paraId="19E48010"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246 (60.3)</w:t>
            </w:r>
          </w:p>
        </w:tc>
        <w:tc>
          <w:tcPr>
            <w:tcW w:w="1330" w:type="dxa"/>
          </w:tcPr>
          <w:p w14:paraId="6E11B203"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295 (62.1)</w:t>
            </w:r>
          </w:p>
        </w:tc>
        <w:tc>
          <w:tcPr>
            <w:tcW w:w="854" w:type="dxa"/>
          </w:tcPr>
          <w:p w14:paraId="37E712E1"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0.630</w:t>
            </w:r>
          </w:p>
        </w:tc>
        <w:tc>
          <w:tcPr>
            <w:tcW w:w="1329" w:type="dxa"/>
          </w:tcPr>
          <w:p w14:paraId="36CC09E5"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9 (31.0)</w:t>
            </w:r>
          </w:p>
        </w:tc>
        <w:tc>
          <w:tcPr>
            <w:tcW w:w="1331" w:type="dxa"/>
          </w:tcPr>
          <w:p w14:paraId="4CA46CF5"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6 (37.5)</w:t>
            </w:r>
          </w:p>
        </w:tc>
        <w:tc>
          <w:tcPr>
            <w:tcW w:w="855" w:type="dxa"/>
          </w:tcPr>
          <w:p w14:paraId="5AF4D9E1"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0.912</w:t>
            </w:r>
          </w:p>
        </w:tc>
      </w:tr>
      <w:tr w:rsidR="00B13400" w:rsidRPr="00DD0F3C" w14:paraId="1B6E9801" w14:textId="77777777" w:rsidTr="004D51B7">
        <w:trPr>
          <w:trHeight w:val="317"/>
          <w:jc w:val="center"/>
        </w:trPr>
        <w:tc>
          <w:tcPr>
            <w:tcW w:w="1942" w:type="dxa"/>
          </w:tcPr>
          <w:p w14:paraId="7C48D371"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90-day mortality (n, %)</w:t>
            </w:r>
          </w:p>
        </w:tc>
        <w:tc>
          <w:tcPr>
            <w:tcW w:w="1329" w:type="dxa"/>
          </w:tcPr>
          <w:p w14:paraId="10E47F2E"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284 (69.6)</w:t>
            </w:r>
          </w:p>
        </w:tc>
        <w:tc>
          <w:tcPr>
            <w:tcW w:w="1330" w:type="dxa"/>
          </w:tcPr>
          <w:p w14:paraId="28EFB532"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337 (70.9)</w:t>
            </w:r>
          </w:p>
        </w:tc>
        <w:tc>
          <w:tcPr>
            <w:tcW w:w="854" w:type="dxa"/>
          </w:tcPr>
          <w:p w14:paraId="0F06FC75"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0.718</w:t>
            </w:r>
          </w:p>
        </w:tc>
        <w:tc>
          <w:tcPr>
            <w:tcW w:w="1329" w:type="dxa"/>
          </w:tcPr>
          <w:p w14:paraId="1A0FDE50"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13 (44.8)</w:t>
            </w:r>
          </w:p>
        </w:tc>
        <w:tc>
          <w:tcPr>
            <w:tcW w:w="1331" w:type="dxa"/>
          </w:tcPr>
          <w:p w14:paraId="6DD05350"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6 (37.5)</w:t>
            </w:r>
          </w:p>
        </w:tc>
        <w:tc>
          <w:tcPr>
            <w:tcW w:w="855" w:type="dxa"/>
          </w:tcPr>
          <w:p w14:paraId="6C19235D"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0.872</w:t>
            </w:r>
          </w:p>
        </w:tc>
      </w:tr>
      <w:tr w:rsidR="00B13400" w:rsidRPr="00DD0F3C" w14:paraId="72F297DB" w14:textId="77777777" w:rsidTr="004D51B7">
        <w:trPr>
          <w:trHeight w:val="317"/>
          <w:jc w:val="center"/>
        </w:trPr>
        <w:tc>
          <w:tcPr>
            <w:tcW w:w="1942" w:type="dxa"/>
          </w:tcPr>
          <w:p w14:paraId="7CCA2385" w14:textId="77777777" w:rsidR="00B13400" w:rsidRPr="00DD0F3C" w:rsidRDefault="00B13400" w:rsidP="004D51B7">
            <w:pPr>
              <w:spacing w:line="480" w:lineRule="auto"/>
              <w:jc w:val="both"/>
              <w:rPr>
                <w:rFonts w:ascii="Times New Roman" w:hAnsi="Times New Roman"/>
                <w:b/>
                <w:bCs/>
                <w:sz w:val="18"/>
                <w:szCs w:val="18"/>
              </w:rPr>
            </w:pPr>
            <w:r w:rsidRPr="00DD0F3C">
              <w:rPr>
                <w:rFonts w:ascii="Times New Roman" w:hAnsi="Times New Roman"/>
                <w:b/>
                <w:bCs/>
                <w:sz w:val="18"/>
                <w:szCs w:val="18"/>
              </w:rPr>
              <w:t>Coagulation</w:t>
            </w:r>
          </w:p>
        </w:tc>
        <w:tc>
          <w:tcPr>
            <w:tcW w:w="1329" w:type="dxa"/>
          </w:tcPr>
          <w:p w14:paraId="71C19841" w14:textId="77777777" w:rsidR="00B13400" w:rsidRPr="00DD0F3C" w:rsidRDefault="00B13400" w:rsidP="004D51B7">
            <w:pPr>
              <w:spacing w:line="480" w:lineRule="auto"/>
              <w:jc w:val="both"/>
              <w:rPr>
                <w:rFonts w:ascii="Times New Roman" w:hAnsi="Times New Roman"/>
                <w:sz w:val="18"/>
                <w:szCs w:val="18"/>
              </w:rPr>
            </w:pPr>
          </w:p>
        </w:tc>
        <w:tc>
          <w:tcPr>
            <w:tcW w:w="1330" w:type="dxa"/>
          </w:tcPr>
          <w:p w14:paraId="2AFAE808" w14:textId="77777777" w:rsidR="00B13400" w:rsidRPr="00DD0F3C" w:rsidRDefault="00B13400" w:rsidP="004D51B7">
            <w:pPr>
              <w:spacing w:line="480" w:lineRule="auto"/>
              <w:jc w:val="both"/>
              <w:rPr>
                <w:rFonts w:ascii="Times New Roman" w:hAnsi="Times New Roman"/>
                <w:sz w:val="18"/>
                <w:szCs w:val="18"/>
              </w:rPr>
            </w:pPr>
          </w:p>
        </w:tc>
        <w:tc>
          <w:tcPr>
            <w:tcW w:w="854" w:type="dxa"/>
          </w:tcPr>
          <w:p w14:paraId="76A43C77" w14:textId="77777777" w:rsidR="00B13400" w:rsidRPr="00DD0F3C" w:rsidRDefault="00B13400" w:rsidP="004D51B7">
            <w:pPr>
              <w:spacing w:line="480" w:lineRule="auto"/>
              <w:jc w:val="both"/>
              <w:rPr>
                <w:rFonts w:ascii="Times New Roman" w:hAnsi="Times New Roman"/>
                <w:sz w:val="18"/>
                <w:szCs w:val="18"/>
              </w:rPr>
            </w:pPr>
          </w:p>
        </w:tc>
        <w:tc>
          <w:tcPr>
            <w:tcW w:w="1332" w:type="dxa"/>
          </w:tcPr>
          <w:p w14:paraId="15B09EF7" w14:textId="77777777" w:rsidR="00B13400" w:rsidRPr="00DD0F3C" w:rsidRDefault="00B13400" w:rsidP="004D51B7">
            <w:pPr>
              <w:spacing w:line="480" w:lineRule="auto"/>
              <w:jc w:val="both"/>
              <w:rPr>
                <w:rFonts w:ascii="Times New Roman" w:hAnsi="Times New Roman"/>
                <w:sz w:val="18"/>
                <w:szCs w:val="18"/>
              </w:rPr>
            </w:pPr>
          </w:p>
        </w:tc>
        <w:tc>
          <w:tcPr>
            <w:tcW w:w="1332" w:type="dxa"/>
          </w:tcPr>
          <w:p w14:paraId="33CF156A" w14:textId="77777777" w:rsidR="00B13400" w:rsidRPr="00DD0F3C" w:rsidRDefault="00B13400" w:rsidP="004D51B7">
            <w:pPr>
              <w:spacing w:line="480" w:lineRule="auto"/>
              <w:jc w:val="both"/>
              <w:rPr>
                <w:rFonts w:ascii="Times New Roman" w:hAnsi="Times New Roman"/>
                <w:sz w:val="18"/>
                <w:szCs w:val="18"/>
              </w:rPr>
            </w:pPr>
          </w:p>
        </w:tc>
        <w:tc>
          <w:tcPr>
            <w:tcW w:w="850" w:type="dxa"/>
          </w:tcPr>
          <w:p w14:paraId="2A755961" w14:textId="77777777" w:rsidR="00B13400" w:rsidRPr="00DD0F3C" w:rsidRDefault="00B13400" w:rsidP="004D51B7">
            <w:pPr>
              <w:spacing w:line="480" w:lineRule="auto"/>
              <w:jc w:val="both"/>
              <w:rPr>
                <w:rFonts w:ascii="Times New Roman" w:hAnsi="Times New Roman"/>
                <w:sz w:val="18"/>
                <w:szCs w:val="18"/>
              </w:rPr>
            </w:pPr>
          </w:p>
        </w:tc>
      </w:tr>
      <w:tr w:rsidR="00B13400" w:rsidRPr="00DD0F3C" w14:paraId="02EB6C17" w14:textId="77777777" w:rsidTr="004D51B7">
        <w:trPr>
          <w:trHeight w:val="317"/>
          <w:jc w:val="center"/>
        </w:trPr>
        <w:tc>
          <w:tcPr>
            <w:tcW w:w="1942" w:type="dxa"/>
          </w:tcPr>
          <w:p w14:paraId="5FB8A08C"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Prevalence (n, %)</w:t>
            </w:r>
          </w:p>
        </w:tc>
        <w:tc>
          <w:tcPr>
            <w:tcW w:w="1329" w:type="dxa"/>
          </w:tcPr>
          <w:p w14:paraId="48F3FB97"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1091 (45.5)</w:t>
            </w:r>
          </w:p>
        </w:tc>
        <w:tc>
          <w:tcPr>
            <w:tcW w:w="1330" w:type="dxa"/>
          </w:tcPr>
          <w:p w14:paraId="5307BCCD"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NA</w:t>
            </w:r>
          </w:p>
        </w:tc>
        <w:tc>
          <w:tcPr>
            <w:tcW w:w="854" w:type="dxa"/>
          </w:tcPr>
          <w:p w14:paraId="6AE2E25B"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NA</w:t>
            </w:r>
          </w:p>
        </w:tc>
        <w:tc>
          <w:tcPr>
            <w:tcW w:w="1332" w:type="dxa"/>
          </w:tcPr>
          <w:p w14:paraId="1D12ADC1"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292 (40.9)</w:t>
            </w:r>
          </w:p>
        </w:tc>
        <w:tc>
          <w:tcPr>
            <w:tcW w:w="1332" w:type="dxa"/>
          </w:tcPr>
          <w:p w14:paraId="70A07FC8"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NA</w:t>
            </w:r>
          </w:p>
        </w:tc>
        <w:tc>
          <w:tcPr>
            <w:tcW w:w="850" w:type="dxa"/>
          </w:tcPr>
          <w:p w14:paraId="5852FE1C"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NA</w:t>
            </w:r>
          </w:p>
        </w:tc>
      </w:tr>
      <w:tr w:rsidR="00B13400" w:rsidRPr="00DD0F3C" w14:paraId="1A01FCC3" w14:textId="77777777" w:rsidTr="004D51B7">
        <w:trPr>
          <w:trHeight w:val="317"/>
          <w:jc w:val="center"/>
        </w:trPr>
        <w:tc>
          <w:tcPr>
            <w:tcW w:w="1942" w:type="dxa"/>
          </w:tcPr>
          <w:p w14:paraId="1C9E61C2"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28-day mortality (n, %)</w:t>
            </w:r>
          </w:p>
        </w:tc>
        <w:tc>
          <w:tcPr>
            <w:tcW w:w="1329" w:type="dxa"/>
          </w:tcPr>
          <w:p w14:paraId="03191A30"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485 (44.5)</w:t>
            </w:r>
          </w:p>
        </w:tc>
        <w:tc>
          <w:tcPr>
            <w:tcW w:w="1330" w:type="dxa"/>
          </w:tcPr>
          <w:p w14:paraId="750E4B39"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NA</w:t>
            </w:r>
          </w:p>
        </w:tc>
        <w:tc>
          <w:tcPr>
            <w:tcW w:w="854" w:type="dxa"/>
          </w:tcPr>
          <w:p w14:paraId="4068B4DB"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NA</w:t>
            </w:r>
          </w:p>
        </w:tc>
        <w:tc>
          <w:tcPr>
            <w:tcW w:w="1332" w:type="dxa"/>
          </w:tcPr>
          <w:p w14:paraId="0BEF1CBD"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62 (21.2)</w:t>
            </w:r>
          </w:p>
        </w:tc>
        <w:tc>
          <w:tcPr>
            <w:tcW w:w="1332" w:type="dxa"/>
          </w:tcPr>
          <w:p w14:paraId="6F2E36B4"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NA</w:t>
            </w:r>
          </w:p>
        </w:tc>
        <w:tc>
          <w:tcPr>
            <w:tcW w:w="850" w:type="dxa"/>
          </w:tcPr>
          <w:p w14:paraId="5AF5927F"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NA</w:t>
            </w:r>
          </w:p>
        </w:tc>
      </w:tr>
      <w:tr w:rsidR="00B13400" w:rsidRPr="00DD0F3C" w14:paraId="0CDA7F92" w14:textId="77777777" w:rsidTr="004D51B7">
        <w:trPr>
          <w:trHeight w:val="317"/>
          <w:jc w:val="center"/>
        </w:trPr>
        <w:tc>
          <w:tcPr>
            <w:tcW w:w="1942" w:type="dxa"/>
            <w:tcBorders>
              <w:bottom w:val="single" w:sz="4" w:space="0" w:color="auto"/>
            </w:tcBorders>
          </w:tcPr>
          <w:p w14:paraId="594A8A86"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90-day mortality (n, %)</w:t>
            </w:r>
          </w:p>
        </w:tc>
        <w:tc>
          <w:tcPr>
            <w:tcW w:w="1329" w:type="dxa"/>
            <w:tcBorders>
              <w:bottom w:val="single" w:sz="4" w:space="0" w:color="auto"/>
            </w:tcBorders>
          </w:tcPr>
          <w:p w14:paraId="1BB10DAD"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570 (52.2)</w:t>
            </w:r>
          </w:p>
        </w:tc>
        <w:tc>
          <w:tcPr>
            <w:tcW w:w="1330" w:type="dxa"/>
            <w:tcBorders>
              <w:bottom w:val="single" w:sz="4" w:space="0" w:color="auto"/>
            </w:tcBorders>
          </w:tcPr>
          <w:p w14:paraId="726654E6"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NA</w:t>
            </w:r>
          </w:p>
        </w:tc>
        <w:tc>
          <w:tcPr>
            <w:tcW w:w="854" w:type="dxa"/>
            <w:tcBorders>
              <w:bottom w:val="single" w:sz="4" w:space="0" w:color="auto"/>
            </w:tcBorders>
          </w:tcPr>
          <w:p w14:paraId="5AD3FE74"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NA</w:t>
            </w:r>
          </w:p>
        </w:tc>
        <w:tc>
          <w:tcPr>
            <w:tcW w:w="1332" w:type="dxa"/>
            <w:tcBorders>
              <w:bottom w:val="single" w:sz="4" w:space="0" w:color="auto"/>
            </w:tcBorders>
          </w:tcPr>
          <w:p w14:paraId="11D58E92"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90 (30.8)</w:t>
            </w:r>
          </w:p>
        </w:tc>
        <w:tc>
          <w:tcPr>
            <w:tcW w:w="1332" w:type="dxa"/>
            <w:tcBorders>
              <w:bottom w:val="single" w:sz="4" w:space="0" w:color="auto"/>
            </w:tcBorders>
          </w:tcPr>
          <w:p w14:paraId="48CB3621"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NA</w:t>
            </w:r>
          </w:p>
        </w:tc>
        <w:tc>
          <w:tcPr>
            <w:tcW w:w="850" w:type="dxa"/>
            <w:tcBorders>
              <w:bottom w:val="single" w:sz="4" w:space="0" w:color="auto"/>
            </w:tcBorders>
          </w:tcPr>
          <w:p w14:paraId="36E86795" w14:textId="77777777" w:rsidR="00B13400" w:rsidRPr="00DD0F3C" w:rsidRDefault="00B13400" w:rsidP="004D51B7">
            <w:pPr>
              <w:spacing w:line="480" w:lineRule="auto"/>
              <w:jc w:val="both"/>
              <w:rPr>
                <w:rFonts w:ascii="Times New Roman" w:hAnsi="Times New Roman"/>
                <w:sz w:val="18"/>
                <w:szCs w:val="18"/>
              </w:rPr>
            </w:pPr>
            <w:r w:rsidRPr="00DD0F3C">
              <w:rPr>
                <w:rFonts w:ascii="Times New Roman" w:hAnsi="Times New Roman"/>
                <w:sz w:val="18"/>
                <w:szCs w:val="18"/>
              </w:rPr>
              <w:t>NA</w:t>
            </w:r>
          </w:p>
        </w:tc>
      </w:tr>
    </w:tbl>
    <w:p w14:paraId="355CBF9C" w14:textId="77777777" w:rsidR="00B13400" w:rsidRPr="00346441" w:rsidRDefault="00B13400" w:rsidP="00B13400">
      <w:pPr>
        <w:spacing w:line="480" w:lineRule="auto"/>
        <w:rPr>
          <w:rFonts w:ascii="Times New Roman" w:hAnsi="Times New Roman"/>
          <w:b/>
          <w:bCs/>
          <w:color w:val="333333"/>
          <w:sz w:val="22"/>
          <w:szCs w:val="22"/>
          <w:lang w:eastAsia="en-IN"/>
        </w:rPr>
      </w:pPr>
      <w:r w:rsidRPr="00346441">
        <w:rPr>
          <w:rFonts w:ascii="Times New Roman" w:hAnsi="Times New Roman"/>
          <w:b/>
          <w:bCs/>
          <w:color w:val="333333"/>
          <w:sz w:val="22"/>
          <w:szCs w:val="22"/>
          <w:lang w:eastAsia="en-IN"/>
        </w:rPr>
        <w:t> </w:t>
      </w:r>
    </w:p>
    <w:p w14:paraId="422F86A8" w14:textId="77777777" w:rsidR="00B13400" w:rsidRPr="00346441" w:rsidRDefault="00B13400" w:rsidP="00B13400">
      <w:pPr>
        <w:spacing w:line="480" w:lineRule="auto"/>
        <w:rPr>
          <w:rFonts w:ascii="Times New Roman" w:hAnsi="Times New Roman"/>
          <w:color w:val="333333"/>
          <w:sz w:val="22"/>
          <w:szCs w:val="22"/>
        </w:rPr>
      </w:pPr>
      <w:r w:rsidRPr="007B73E7">
        <w:rPr>
          <w:rFonts w:ascii="Times New Roman" w:hAnsi="Times New Roman"/>
          <w:color w:val="EE0000"/>
          <w:sz w:val="22"/>
          <w:szCs w:val="22"/>
          <w:lang w:eastAsia="en-IN"/>
        </w:rPr>
        <w:t xml:space="preserve">For the left columns ("Whole cohort"), prevalence reflects involvement of the specified organ either alone or in combination with other organ failures. For the right columns ("Single organ failure only "), prevalence reflects isolated failure of the specified organ only (excluding patients with concomitant failure of other organs). Mortality rates are shown for the respective patient groups. </w:t>
      </w:r>
      <w:r w:rsidRPr="00346441">
        <w:rPr>
          <w:rFonts w:ascii="Times New Roman" w:hAnsi="Times New Roman"/>
          <w:color w:val="333333"/>
          <w:sz w:val="22"/>
          <w:szCs w:val="22"/>
          <w:lang w:eastAsia="en-IN"/>
        </w:rPr>
        <w:t xml:space="preserve">Data are presented as n (%). Prevalence and mortality rates were compared between groups using the Chi-square test. Subgroup analyses were performed for patients with isolated (single) organ failure. A two-sided p-value &lt;0.05 was considered statistically significant. </w:t>
      </w:r>
      <w:r w:rsidRPr="00346441">
        <w:rPr>
          <w:rFonts w:ascii="Times New Roman" w:hAnsi="Times New Roman"/>
          <w:color w:val="333333"/>
          <w:sz w:val="22"/>
          <w:szCs w:val="22"/>
          <w:lang w:eastAsia="en-IN"/>
        </w:rPr>
        <w:br w:type="page"/>
      </w:r>
    </w:p>
    <w:p w14:paraId="025FB50E" w14:textId="77777777" w:rsidR="008A5C6E" w:rsidRDefault="008A5C6E"/>
    <w:sectPr w:rsidR="008A5C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C6E"/>
    <w:rsid w:val="008A5C6E"/>
    <w:rsid w:val="00B13400"/>
    <w:rsid w:val="00E5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3A91C-48F5-4272-8C60-3BC4AB25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C6E"/>
    <w:rPr>
      <w:rFonts w:eastAsiaTheme="majorEastAsia" w:cstheme="majorBidi"/>
      <w:color w:val="272727" w:themeColor="text1" w:themeTint="D8"/>
    </w:rPr>
  </w:style>
  <w:style w:type="paragraph" w:styleId="Title">
    <w:name w:val="Title"/>
    <w:basedOn w:val="Normal"/>
    <w:next w:val="Normal"/>
    <w:link w:val="TitleChar"/>
    <w:uiPriority w:val="10"/>
    <w:qFormat/>
    <w:rsid w:val="008A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C6E"/>
    <w:pPr>
      <w:spacing w:before="160"/>
      <w:jc w:val="center"/>
    </w:pPr>
    <w:rPr>
      <w:i/>
      <w:iCs/>
      <w:color w:val="404040" w:themeColor="text1" w:themeTint="BF"/>
    </w:rPr>
  </w:style>
  <w:style w:type="character" w:customStyle="1" w:styleId="QuoteChar">
    <w:name w:val="Quote Char"/>
    <w:basedOn w:val="DefaultParagraphFont"/>
    <w:link w:val="Quote"/>
    <w:uiPriority w:val="29"/>
    <w:rsid w:val="008A5C6E"/>
    <w:rPr>
      <w:i/>
      <w:iCs/>
      <w:color w:val="404040" w:themeColor="text1" w:themeTint="BF"/>
    </w:rPr>
  </w:style>
  <w:style w:type="paragraph" w:styleId="ListParagraph">
    <w:name w:val="List Paragraph"/>
    <w:basedOn w:val="Normal"/>
    <w:uiPriority w:val="34"/>
    <w:qFormat/>
    <w:rsid w:val="008A5C6E"/>
    <w:pPr>
      <w:ind w:left="720"/>
      <w:contextualSpacing/>
    </w:pPr>
  </w:style>
  <w:style w:type="character" w:styleId="IntenseEmphasis">
    <w:name w:val="Intense Emphasis"/>
    <w:basedOn w:val="DefaultParagraphFont"/>
    <w:uiPriority w:val="21"/>
    <w:qFormat/>
    <w:rsid w:val="008A5C6E"/>
    <w:rPr>
      <w:i/>
      <w:iCs/>
      <w:color w:val="2F5496" w:themeColor="accent1" w:themeShade="BF"/>
    </w:rPr>
  </w:style>
  <w:style w:type="paragraph" w:styleId="IntenseQuote">
    <w:name w:val="Intense Quote"/>
    <w:basedOn w:val="Normal"/>
    <w:next w:val="Normal"/>
    <w:link w:val="IntenseQuoteChar"/>
    <w:uiPriority w:val="30"/>
    <w:qFormat/>
    <w:rsid w:val="008A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C6E"/>
    <w:rPr>
      <w:i/>
      <w:iCs/>
      <w:color w:val="2F5496" w:themeColor="accent1" w:themeShade="BF"/>
    </w:rPr>
  </w:style>
  <w:style w:type="character" w:styleId="IntenseReference">
    <w:name w:val="Intense Reference"/>
    <w:basedOn w:val="DefaultParagraphFont"/>
    <w:uiPriority w:val="32"/>
    <w:qFormat/>
    <w:rsid w:val="008A5C6E"/>
    <w:rPr>
      <w:b/>
      <w:bCs/>
      <w:smallCaps/>
      <w:color w:val="2F5496" w:themeColor="accent1" w:themeShade="BF"/>
      <w:spacing w:val="5"/>
    </w:rPr>
  </w:style>
  <w:style w:type="table" w:styleId="TableGrid">
    <w:name w:val="Table Grid"/>
    <w:basedOn w:val="TableNormal"/>
    <w:uiPriority w:val="39"/>
    <w:rsid w:val="00B13400"/>
    <w:pPr>
      <w:spacing w:after="0" w:line="240" w:lineRule="auto"/>
    </w:pPr>
    <w:rPr>
      <w:rFonts w:eastAsiaTheme="minorEastAsia" w:cs="Times New Roman"/>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2026-05-09T21:59:00Z</dcterms:created>
  <dcterms:modified xsi:type="dcterms:W3CDTF">2026-05-09T22:00:00Z</dcterms:modified>
</cp:coreProperties>
</file>