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0538" w14:textId="77777777" w:rsidR="00AD7FD7" w:rsidRPr="00346441" w:rsidRDefault="00AD7FD7" w:rsidP="00AD7FD7">
      <w:pPr>
        <w:spacing w:line="480" w:lineRule="auto"/>
        <w:rPr>
          <w:rFonts w:ascii="Times New Roman" w:hAnsi="Times New Roman"/>
          <w:b/>
          <w:bCs/>
          <w:sz w:val="22"/>
          <w:szCs w:val="22"/>
        </w:rPr>
      </w:pPr>
      <w:r w:rsidRPr="00346441">
        <w:rPr>
          <w:rFonts w:ascii="Times New Roman" w:hAnsi="Times New Roman"/>
          <w:b/>
          <w:bCs/>
          <w:sz w:val="22"/>
          <w:szCs w:val="22"/>
        </w:rPr>
        <w:t xml:space="preserve">Supplementary Table </w:t>
      </w:r>
      <w:r>
        <w:rPr>
          <w:rFonts w:ascii="Times New Roman" w:hAnsi="Times New Roman"/>
          <w:b/>
          <w:bCs/>
          <w:color w:val="EE0000"/>
          <w:sz w:val="22"/>
          <w:szCs w:val="22"/>
          <w:lang w:eastAsia="zh-CN"/>
        </w:rPr>
        <w:t>4</w:t>
      </w:r>
      <w:r w:rsidRPr="00346441">
        <w:rPr>
          <w:rFonts w:ascii="Times New Roman" w:hAnsi="Times New Roman"/>
          <w:b/>
          <w:bCs/>
          <w:sz w:val="22"/>
          <w:szCs w:val="22"/>
        </w:rPr>
        <w:t xml:space="preserve">: Cross-classification of patients by A-TANGO and Consensus ACLF definitions with associated 28-day and 90-day mortality- 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>CATCH-LIFE</w:t>
      </w:r>
      <w:r w:rsidRPr="00346441">
        <w:rPr>
          <w:rFonts w:ascii="Times New Roman" w:hAnsi="Times New Roman"/>
          <w:b/>
          <w:bCs/>
          <w:sz w:val="22"/>
          <w:szCs w:val="22"/>
        </w:rPr>
        <w:t xml:space="preserve"> cohort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1702"/>
        <w:gridCol w:w="1885"/>
        <w:gridCol w:w="2711"/>
      </w:tblGrid>
      <w:tr w:rsidR="00AD7FD7" w:rsidRPr="00DD0F3C" w14:paraId="79B69337" w14:textId="77777777" w:rsidTr="004D51B7">
        <w:trPr>
          <w:trHeight w:val="386"/>
          <w:jc w:val="center"/>
        </w:trPr>
        <w:tc>
          <w:tcPr>
            <w:tcW w:w="1636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F573493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3364" w:type="pct"/>
            <w:gridSpan w:val="3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F88AF36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A-TANGO criteria (NRI: 27.4%)</w:t>
            </w:r>
          </w:p>
        </w:tc>
      </w:tr>
      <w:tr w:rsidR="00AD7FD7" w:rsidRPr="00DD0F3C" w14:paraId="7964B7FB" w14:textId="77777777" w:rsidTr="004D51B7">
        <w:trPr>
          <w:trHeight w:val="367"/>
          <w:jc w:val="center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C3A94B2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Consensus criteria</w:t>
            </w: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676A46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no-ACLF</w:t>
            </w:r>
          </w:p>
        </w:tc>
        <w:tc>
          <w:tcPr>
            <w:tcW w:w="100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064D1C8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ACLF</w:t>
            </w:r>
          </w:p>
        </w:tc>
        <w:tc>
          <w:tcPr>
            <w:tcW w:w="144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6D08AAC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Total</w:t>
            </w:r>
          </w:p>
        </w:tc>
      </w:tr>
      <w:tr w:rsidR="00AD7FD7" w:rsidRPr="00DD0F3C" w14:paraId="5744459A" w14:textId="77777777" w:rsidTr="004D51B7">
        <w:trPr>
          <w:trHeight w:val="386"/>
          <w:jc w:val="center"/>
        </w:trPr>
        <w:tc>
          <w:tcPr>
            <w:tcW w:w="1636" w:type="pct"/>
            <w:tcBorders>
              <w:top w:val="single" w:sz="4" w:space="0" w:color="auto"/>
            </w:tcBorders>
            <w:vAlign w:val="center"/>
          </w:tcPr>
          <w:p w14:paraId="27F31C0F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no-ACLF</w:t>
            </w:r>
          </w:p>
        </w:tc>
        <w:tc>
          <w:tcPr>
            <w:tcW w:w="909" w:type="pct"/>
            <w:tcBorders>
              <w:top w:val="single" w:sz="4" w:space="0" w:color="auto"/>
            </w:tcBorders>
            <w:vAlign w:val="center"/>
          </w:tcPr>
          <w:p w14:paraId="3488394D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1750 (72.4%)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vAlign w:val="center"/>
          </w:tcPr>
          <w:p w14:paraId="690B0E3F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668 (27.6%)</w:t>
            </w:r>
          </w:p>
        </w:tc>
        <w:tc>
          <w:tcPr>
            <w:tcW w:w="1448" w:type="pct"/>
            <w:tcBorders>
              <w:top w:val="single" w:sz="4" w:space="0" w:color="auto"/>
            </w:tcBorders>
            <w:vAlign w:val="center"/>
          </w:tcPr>
          <w:p w14:paraId="682E6778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2418 (94.2%)</w:t>
            </w:r>
          </w:p>
        </w:tc>
      </w:tr>
      <w:tr w:rsidR="00AD7FD7" w:rsidRPr="00DD0F3C" w14:paraId="216BFC18" w14:textId="77777777" w:rsidTr="004D51B7">
        <w:trPr>
          <w:trHeight w:val="386"/>
          <w:jc w:val="center"/>
        </w:trPr>
        <w:tc>
          <w:tcPr>
            <w:tcW w:w="1636" w:type="pct"/>
            <w:vAlign w:val="center"/>
          </w:tcPr>
          <w:p w14:paraId="712F0B12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28-day mortality</w:t>
            </w:r>
          </w:p>
        </w:tc>
        <w:tc>
          <w:tcPr>
            <w:tcW w:w="909" w:type="pct"/>
            <w:vAlign w:val="center"/>
          </w:tcPr>
          <w:p w14:paraId="34C8A17C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 (3.2%)</w:t>
            </w:r>
          </w:p>
        </w:tc>
        <w:tc>
          <w:tcPr>
            <w:tcW w:w="1007" w:type="pct"/>
            <w:vAlign w:val="center"/>
          </w:tcPr>
          <w:p w14:paraId="0FE7D3E9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121 (18.1%)</w:t>
            </w:r>
          </w:p>
        </w:tc>
        <w:tc>
          <w:tcPr>
            <w:tcW w:w="1448" w:type="pct"/>
            <w:vAlign w:val="center"/>
          </w:tcPr>
          <w:p w14:paraId="4BB95E85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177 (7.3%)</w:t>
            </w:r>
          </w:p>
        </w:tc>
      </w:tr>
      <w:tr w:rsidR="00AD7FD7" w:rsidRPr="00DD0F3C" w14:paraId="32A96CA3" w14:textId="77777777" w:rsidTr="004D51B7">
        <w:trPr>
          <w:trHeight w:val="386"/>
          <w:jc w:val="center"/>
        </w:trPr>
        <w:tc>
          <w:tcPr>
            <w:tcW w:w="1636" w:type="pct"/>
            <w:vAlign w:val="center"/>
          </w:tcPr>
          <w:p w14:paraId="46B2EE26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90-day mortality</w:t>
            </w:r>
          </w:p>
        </w:tc>
        <w:tc>
          <w:tcPr>
            <w:tcW w:w="909" w:type="pct"/>
            <w:vAlign w:val="center"/>
          </w:tcPr>
          <w:p w14:paraId="596701F1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118 (6.7%)</w:t>
            </w:r>
          </w:p>
        </w:tc>
        <w:tc>
          <w:tcPr>
            <w:tcW w:w="1007" w:type="pct"/>
            <w:vAlign w:val="center"/>
          </w:tcPr>
          <w:p w14:paraId="5FC26818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222 (33.2%)</w:t>
            </w:r>
          </w:p>
        </w:tc>
        <w:tc>
          <w:tcPr>
            <w:tcW w:w="1448" w:type="pct"/>
            <w:vAlign w:val="center"/>
          </w:tcPr>
          <w:p w14:paraId="40204FFD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340 (14.1%)</w:t>
            </w:r>
          </w:p>
        </w:tc>
      </w:tr>
      <w:tr w:rsidR="00AD7FD7" w:rsidRPr="00DD0F3C" w14:paraId="00097C43" w14:textId="77777777" w:rsidTr="004D51B7">
        <w:trPr>
          <w:trHeight w:val="386"/>
          <w:jc w:val="center"/>
        </w:trPr>
        <w:tc>
          <w:tcPr>
            <w:tcW w:w="1636" w:type="pct"/>
            <w:vAlign w:val="center"/>
            <w:hideMark/>
          </w:tcPr>
          <w:p w14:paraId="28B966E2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  <w:t>ACLF</w:t>
            </w:r>
          </w:p>
        </w:tc>
        <w:tc>
          <w:tcPr>
            <w:tcW w:w="909" w:type="pct"/>
            <w:vAlign w:val="center"/>
            <w:hideMark/>
          </w:tcPr>
          <w:p w14:paraId="6BACB262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 (7.3%)</w:t>
            </w:r>
          </w:p>
        </w:tc>
        <w:tc>
          <w:tcPr>
            <w:tcW w:w="1007" w:type="pct"/>
            <w:vAlign w:val="center"/>
            <w:hideMark/>
          </w:tcPr>
          <w:p w14:paraId="5B4441FA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139 (92.6%)</w:t>
            </w:r>
          </w:p>
        </w:tc>
        <w:tc>
          <w:tcPr>
            <w:tcW w:w="1448" w:type="pct"/>
            <w:vAlign w:val="center"/>
            <w:hideMark/>
          </w:tcPr>
          <w:p w14:paraId="64A3EEB5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150 (5.8%)</w:t>
            </w:r>
          </w:p>
        </w:tc>
      </w:tr>
      <w:tr w:rsidR="00AD7FD7" w:rsidRPr="00DD0F3C" w14:paraId="127E3A98" w14:textId="77777777" w:rsidTr="004D51B7">
        <w:trPr>
          <w:trHeight w:val="386"/>
          <w:jc w:val="center"/>
        </w:trPr>
        <w:tc>
          <w:tcPr>
            <w:tcW w:w="1636" w:type="pct"/>
            <w:vAlign w:val="center"/>
          </w:tcPr>
          <w:p w14:paraId="06F0B60A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28-day mortality</w:t>
            </w:r>
          </w:p>
        </w:tc>
        <w:tc>
          <w:tcPr>
            <w:tcW w:w="909" w:type="pct"/>
            <w:vAlign w:val="center"/>
          </w:tcPr>
          <w:p w14:paraId="5B844ABD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(9.1%)</w:t>
            </w:r>
          </w:p>
        </w:tc>
        <w:tc>
          <w:tcPr>
            <w:tcW w:w="1007" w:type="pct"/>
            <w:vAlign w:val="center"/>
          </w:tcPr>
          <w:p w14:paraId="7D34297D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 (43.2%)</w:t>
            </w:r>
          </w:p>
        </w:tc>
        <w:tc>
          <w:tcPr>
            <w:tcW w:w="1448" w:type="pct"/>
            <w:vAlign w:val="center"/>
          </w:tcPr>
          <w:p w14:paraId="55289F90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 (40.7%)</w:t>
            </w:r>
          </w:p>
        </w:tc>
      </w:tr>
      <w:tr w:rsidR="00AD7FD7" w:rsidRPr="00DD0F3C" w14:paraId="1A1F0853" w14:textId="77777777" w:rsidTr="004D51B7">
        <w:trPr>
          <w:trHeight w:val="386"/>
          <w:jc w:val="center"/>
        </w:trPr>
        <w:tc>
          <w:tcPr>
            <w:tcW w:w="1636" w:type="pct"/>
            <w:vAlign w:val="center"/>
          </w:tcPr>
          <w:p w14:paraId="0F9AA68C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90-day mortality</w:t>
            </w:r>
          </w:p>
        </w:tc>
        <w:tc>
          <w:tcPr>
            <w:tcW w:w="909" w:type="pct"/>
            <w:vAlign w:val="center"/>
          </w:tcPr>
          <w:p w14:paraId="3AF40DB8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(18.2%)</w:t>
            </w:r>
          </w:p>
        </w:tc>
        <w:tc>
          <w:tcPr>
            <w:tcW w:w="1007" w:type="pct"/>
            <w:vAlign w:val="center"/>
          </w:tcPr>
          <w:p w14:paraId="3FBF22E9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 (57.6%)</w:t>
            </w:r>
          </w:p>
        </w:tc>
        <w:tc>
          <w:tcPr>
            <w:tcW w:w="1448" w:type="pct"/>
            <w:vAlign w:val="center"/>
          </w:tcPr>
          <w:p w14:paraId="22AB2109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 (54.7%)</w:t>
            </w:r>
          </w:p>
        </w:tc>
      </w:tr>
      <w:tr w:rsidR="00AD7FD7" w:rsidRPr="00DD0F3C" w14:paraId="167B479C" w14:textId="77777777" w:rsidTr="004D51B7">
        <w:trPr>
          <w:trHeight w:val="386"/>
          <w:jc w:val="center"/>
        </w:trPr>
        <w:tc>
          <w:tcPr>
            <w:tcW w:w="1636" w:type="pct"/>
            <w:vAlign w:val="center"/>
          </w:tcPr>
          <w:p w14:paraId="338F1884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  <w:lang w:eastAsia="en-IN"/>
              </w:rPr>
              <w:t>Total</w:t>
            </w:r>
          </w:p>
        </w:tc>
        <w:tc>
          <w:tcPr>
            <w:tcW w:w="909" w:type="pct"/>
            <w:vAlign w:val="center"/>
          </w:tcPr>
          <w:p w14:paraId="13AC5AEB" w14:textId="77777777" w:rsidR="00AD7FD7" w:rsidRPr="00BC1038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1761 (68.6%)</w:t>
            </w:r>
          </w:p>
        </w:tc>
        <w:tc>
          <w:tcPr>
            <w:tcW w:w="1007" w:type="pct"/>
            <w:vAlign w:val="center"/>
          </w:tcPr>
          <w:p w14:paraId="5628B07A" w14:textId="77777777" w:rsidR="00AD7FD7" w:rsidRPr="00BC1038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807 (31.4%)</w:t>
            </w:r>
          </w:p>
        </w:tc>
        <w:tc>
          <w:tcPr>
            <w:tcW w:w="1448" w:type="pct"/>
            <w:vAlign w:val="center"/>
          </w:tcPr>
          <w:p w14:paraId="7207209E" w14:textId="77777777" w:rsidR="00AD7FD7" w:rsidRPr="00BC1038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IN"/>
              </w:rPr>
            </w:pPr>
            <w:r w:rsidRPr="00BC10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2568 (100%)</w:t>
            </w:r>
          </w:p>
        </w:tc>
      </w:tr>
      <w:tr w:rsidR="00AD7FD7" w:rsidRPr="00DD0F3C" w14:paraId="79DAB34C" w14:textId="77777777" w:rsidTr="004D51B7">
        <w:trPr>
          <w:trHeight w:val="386"/>
          <w:jc w:val="center"/>
        </w:trPr>
        <w:tc>
          <w:tcPr>
            <w:tcW w:w="1636" w:type="pct"/>
            <w:vAlign w:val="center"/>
          </w:tcPr>
          <w:p w14:paraId="1276E90B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28-day mortality</w:t>
            </w:r>
          </w:p>
        </w:tc>
        <w:tc>
          <w:tcPr>
            <w:tcW w:w="909" w:type="pct"/>
            <w:vAlign w:val="center"/>
          </w:tcPr>
          <w:p w14:paraId="76D6F567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 (3.2%)</w:t>
            </w:r>
          </w:p>
        </w:tc>
        <w:tc>
          <w:tcPr>
            <w:tcW w:w="1007" w:type="pct"/>
            <w:vAlign w:val="center"/>
          </w:tcPr>
          <w:p w14:paraId="2F916947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181 (22.4%)</w:t>
            </w:r>
          </w:p>
        </w:tc>
        <w:tc>
          <w:tcPr>
            <w:tcW w:w="1448" w:type="pct"/>
            <w:vAlign w:val="center"/>
          </w:tcPr>
          <w:p w14:paraId="7880A22E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238 (9.3%)</w:t>
            </w:r>
          </w:p>
        </w:tc>
      </w:tr>
      <w:tr w:rsidR="00AD7FD7" w:rsidRPr="00DD0F3C" w14:paraId="2B80596B" w14:textId="77777777" w:rsidTr="004D51B7">
        <w:trPr>
          <w:trHeight w:val="386"/>
          <w:jc w:val="center"/>
        </w:trPr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14:paraId="561D5CB9" w14:textId="77777777" w:rsidR="00AD7FD7" w:rsidRPr="00DD0F3C" w:rsidRDefault="00AD7FD7" w:rsidP="004D51B7">
            <w:pPr>
              <w:spacing w:line="48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  <w:t>90-day mortality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14:paraId="3F7B179F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 (6.8%)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7046169C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302 (37.4%)</w:t>
            </w:r>
          </w:p>
        </w:tc>
        <w:tc>
          <w:tcPr>
            <w:tcW w:w="1448" w:type="pct"/>
            <w:tcBorders>
              <w:bottom w:val="single" w:sz="4" w:space="0" w:color="auto"/>
            </w:tcBorders>
            <w:vAlign w:val="center"/>
          </w:tcPr>
          <w:p w14:paraId="4BDE556F" w14:textId="77777777" w:rsidR="00AD7FD7" w:rsidRPr="00DD0F3C" w:rsidRDefault="00AD7FD7" w:rsidP="004D51B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422 (16.4%)</w:t>
            </w:r>
          </w:p>
        </w:tc>
      </w:tr>
    </w:tbl>
    <w:p w14:paraId="75F32C65" w14:textId="77777777" w:rsidR="00AD7FD7" w:rsidRDefault="00AD7FD7" w:rsidP="00AD7FD7">
      <w:pPr>
        <w:spacing w:before="100" w:beforeAutospacing="1" w:after="100" w:afterAutospacing="1" w:line="480" w:lineRule="auto"/>
        <w:rPr>
          <w:rFonts w:ascii="Times New Roman" w:hAnsi="Times New Roman"/>
          <w:color w:val="333333"/>
          <w:sz w:val="22"/>
          <w:szCs w:val="22"/>
          <w:lang w:eastAsia="en-IN"/>
        </w:rPr>
      </w:pPr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t>Mortality rates are expressed as proportions within each group. A two-sided p-value &lt;0.05 was considered statistically significant. ACLF, acute-on-chronic liver failure. Data are presented as n (%). Percentages were compared using the Chi-square test.</w:t>
      </w:r>
    </w:p>
    <w:p w14:paraId="32B10235" w14:textId="77777777" w:rsidR="00425B37" w:rsidRDefault="00425B37"/>
    <w:sectPr w:rsidR="00425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37"/>
    <w:rsid w:val="00425B37"/>
    <w:rsid w:val="00AD7FD7"/>
    <w:rsid w:val="00E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B71A7-B738-4EF2-B8B3-DF224888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B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B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B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B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B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7FD7"/>
    <w:pPr>
      <w:spacing w:after="0" w:line="240" w:lineRule="auto"/>
    </w:pPr>
    <w:rPr>
      <w:rFonts w:eastAsiaTheme="minorEastAsia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2026-05-09T21:59:00Z</dcterms:created>
  <dcterms:modified xsi:type="dcterms:W3CDTF">2026-05-09T21:59:00Z</dcterms:modified>
</cp:coreProperties>
</file>