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5A1A" w14:textId="77777777" w:rsidR="00C31007" w:rsidRPr="00346441" w:rsidRDefault="00C31007" w:rsidP="00C31007">
      <w:pPr>
        <w:spacing w:line="480" w:lineRule="auto"/>
        <w:rPr>
          <w:rFonts w:ascii="Times New Roman" w:hAnsi="Times New Roman"/>
          <w:b/>
          <w:bCs/>
          <w:color w:val="222222"/>
          <w:sz w:val="22"/>
          <w:szCs w:val="22"/>
          <w:shd w:val="clear" w:color="auto" w:fill="FFFFFF"/>
        </w:rPr>
      </w:pPr>
      <w:r w:rsidRPr="00346441">
        <w:rPr>
          <w:rFonts w:ascii="Times New Roman" w:hAnsi="Times New Roman"/>
          <w:b/>
          <w:bCs/>
          <w:color w:val="222222"/>
          <w:sz w:val="22"/>
          <w:szCs w:val="22"/>
          <w:shd w:val="clear" w:color="auto" w:fill="FFFFFF"/>
        </w:rPr>
        <w:t xml:space="preserve">Supplementary Table </w:t>
      </w:r>
      <w:r>
        <w:rPr>
          <w:rFonts w:ascii="Times New Roman" w:hAnsi="Times New Roman"/>
          <w:b/>
          <w:bCs/>
          <w:color w:val="EE0000"/>
          <w:sz w:val="22"/>
          <w:szCs w:val="22"/>
          <w:shd w:val="clear" w:color="auto" w:fill="FFFFFF"/>
          <w:lang w:eastAsia="zh-CN"/>
        </w:rPr>
        <w:t>3</w:t>
      </w:r>
      <w:r w:rsidRPr="00346441">
        <w:rPr>
          <w:rFonts w:ascii="Times New Roman" w:hAnsi="Times New Roman"/>
          <w:b/>
          <w:bCs/>
          <w:color w:val="222222"/>
          <w:sz w:val="22"/>
          <w:szCs w:val="22"/>
          <w:shd w:val="clear" w:color="auto" w:fill="FFFFFF"/>
        </w:rPr>
        <w:t>: Cross-classification of patients by A-TANGO and Consensus ACLF definitions with associated 28-day and 90-day mortality- TIH cohort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1702"/>
        <w:gridCol w:w="1885"/>
        <w:gridCol w:w="2711"/>
      </w:tblGrid>
      <w:tr w:rsidR="00C31007" w:rsidRPr="00DD0F3C" w14:paraId="0523DC14" w14:textId="77777777" w:rsidTr="004D51B7">
        <w:trPr>
          <w:trHeight w:val="386"/>
          <w:jc w:val="center"/>
        </w:trPr>
        <w:tc>
          <w:tcPr>
            <w:tcW w:w="1636" w:type="pct"/>
            <w:tcBorders>
              <w:top w:val="single" w:sz="4" w:space="0" w:color="auto"/>
              <w:bottom w:val="nil"/>
            </w:tcBorders>
            <w:hideMark/>
          </w:tcPr>
          <w:p w14:paraId="38F367C5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3364" w:type="pct"/>
            <w:gridSpan w:val="3"/>
            <w:tcBorders>
              <w:top w:val="single" w:sz="4" w:space="0" w:color="auto"/>
              <w:bottom w:val="nil"/>
            </w:tcBorders>
            <w:hideMark/>
          </w:tcPr>
          <w:p w14:paraId="6CE0BF9D" w14:textId="77777777" w:rsidR="00C31007" w:rsidRPr="00DD0F3C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A-TANGO criteria (NRI: 17.1%)</w:t>
            </w:r>
          </w:p>
        </w:tc>
      </w:tr>
      <w:tr w:rsidR="00C31007" w:rsidRPr="00DD0F3C" w14:paraId="4BDBC4C5" w14:textId="77777777" w:rsidTr="004D51B7">
        <w:trPr>
          <w:trHeight w:val="367"/>
          <w:jc w:val="center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hideMark/>
          </w:tcPr>
          <w:p w14:paraId="4BBEB06D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Consensus criteria</w:t>
            </w: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  <w:hideMark/>
          </w:tcPr>
          <w:p w14:paraId="6D83122C" w14:textId="77777777" w:rsidR="00C31007" w:rsidRPr="00DD0F3C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no-ACLF</w:t>
            </w:r>
          </w:p>
        </w:tc>
        <w:tc>
          <w:tcPr>
            <w:tcW w:w="1007" w:type="pct"/>
            <w:tcBorders>
              <w:top w:val="nil"/>
              <w:bottom w:val="single" w:sz="4" w:space="0" w:color="auto"/>
            </w:tcBorders>
            <w:hideMark/>
          </w:tcPr>
          <w:p w14:paraId="585D1440" w14:textId="77777777" w:rsidR="00C31007" w:rsidRPr="00DD0F3C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 xml:space="preserve">ACLF </w:t>
            </w:r>
          </w:p>
        </w:tc>
        <w:tc>
          <w:tcPr>
            <w:tcW w:w="1448" w:type="pct"/>
            <w:tcBorders>
              <w:top w:val="nil"/>
              <w:bottom w:val="single" w:sz="4" w:space="0" w:color="auto"/>
            </w:tcBorders>
            <w:hideMark/>
          </w:tcPr>
          <w:p w14:paraId="05DEB53E" w14:textId="77777777" w:rsidR="00C31007" w:rsidRPr="00DD0F3C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Total</w:t>
            </w:r>
          </w:p>
        </w:tc>
      </w:tr>
      <w:tr w:rsidR="00C31007" w:rsidRPr="00DD0F3C" w14:paraId="10D1E7CE" w14:textId="77777777" w:rsidTr="004D51B7">
        <w:trPr>
          <w:trHeight w:val="386"/>
          <w:jc w:val="center"/>
        </w:trPr>
        <w:tc>
          <w:tcPr>
            <w:tcW w:w="1636" w:type="pct"/>
            <w:tcBorders>
              <w:top w:val="single" w:sz="4" w:space="0" w:color="auto"/>
            </w:tcBorders>
          </w:tcPr>
          <w:p w14:paraId="49188AB7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no-ACLF</w:t>
            </w:r>
          </w:p>
        </w:tc>
        <w:tc>
          <w:tcPr>
            <w:tcW w:w="909" w:type="pct"/>
            <w:tcBorders>
              <w:top w:val="single" w:sz="4" w:space="0" w:color="auto"/>
            </w:tcBorders>
          </w:tcPr>
          <w:p w14:paraId="4D8E5D74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499 (36.1)</w:t>
            </w:r>
          </w:p>
        </w:tc>
        <w:tc>
          <w:tcPr>
            <w:tcW w:w="1007" w:type="pct"/>
            <w:tcBorders>
              <w:top w:val="single" w:sz="4" w:space="0" w:color="auto"/>
            </w:tcBorders>
          </w:tcPr>
          <w:p w14:paraId="69A41636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885 (63.9)</w:t>
            </w:r>
          </w:p>
        </w:tc>
        <w:tc>
          <w:tcPr>
            <w:tcW w:w="1448" w:type="pct"/>
            <w:tcBorders>
              <w:top w:val="single" w:sz="4" w:space="0" w:color="auto"/>
            </w:tcBorders>
          </w:tcPr>
          <w:p w14:paraId="56F5051C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1384 (57.8)</w:t>
            </w:r>
          </w:p>
        </w:tc>
      </w:tr>
      <w:tr w:rsidR="00C31007" w:rsidRPr="00DD0F3C" w14:paraId="4283674F" w14:textId="77777777" w:rsidTr="004D51B7">
        <w:trPr>
          <w:trHeight w:val="386"/>
          <w:jc w:val="center"/>
        </w:trPr>
        <w:tc>
          <w:tcPr>
            <w:tcW w:w="1636" w:type="pct"/>
          </w:tcPr>
          <w:p w14:paraId="5FB67B23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28-day mortality</w:t>
            </w:r>
          </w:p>
        </w:tc>
        <w:tc>
          <w:tcPr>
            <w:tcW w:w="909" w:type="pct"/>
          </w:tcPr>
          <w:p w14:paraId="769EDB7B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53 (10.6)</w:t>
            </w:r>
          </w:p>
        </w:tc>
        <w:tc>
          <w:tcPr>
            <w:tcW w:w="1007" w:type="pct"/>
          </w:tcPr>
          <w:p w14:paraId="475701DB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238 (26.9)</w:t>
            </w:r>
          </w:p>
        </w:tc>
        <w:tc>
          <w:tcPr>
            <w:tcW w:w="1448" w:type="pct"/>
          </w:tcPr>
          <w:p w14:paraId="6FEF1848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291 (21)</w:t>
            </w:r>
          </w:p>
        </w:tc>
      </w:tr>
      <w:tr w:rsidR="00C31007" w:rsidRPr="00DD0F3C" w14:paraId="706C89B0" w14:textId="77777777" w:rsidTr="004D51B7">
        <w:trPr>
          <w:trHeight w:val="386"/>
          <w:jc w:val="center"/>
        </w:trPr>
        <w:tc>
          <w:tcPr>
            <w:tcW w:w="1636" w:type="pct"/>
          </w:tcPr>
          <w:p w14:paraId="461F23EE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 xml:space="preserve">90-day mortality </w:t>
            </w:r>
          </w:p>
        </w:tc>
        <w:tc>
          <w:tcPr>
            <w:tcW w:w="909" w:type="pct"/>
          </w:tcPr>
          <w:p w14:paraId="33B24052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82 (16.4)</w:t>
            </w:r>
          </w:p>
        </w:tc>
        <w:tc>
          <w:tcPr>
            <w:tcW w:w="1007" w:type="pct"/>
          </w:tcPr>
          <w:p w14:paraId="585A61FA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335 (37.9)</w:t>
            </w:r>
          </w:p>
        </w:tc>
        <w:tc>
          <w:tcPr>
            <w:tcW w:w="1448" w:type="pct"/>
          </w:tcPr>
          <w:p w14:paraId="1E6DAC02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417 (30.1)</w:t>
            </w:r>
          </w:p>
        </w:tc>
      </w:tr>
      <w:tr w:rsidR="00C31007" w:rsidRPr="00DD0F3C" w14:paraId="2ADE8C74" w14:textId="77777777" w:rsidTr="004D51B7">
        <w:trPr>
          <w:trHeight w:val="386"/>
          <w:jc w:val="center"/>
        </w:trPr>
        <w:tc>
          <w:tcPr>
            <w:tcW w:w="1636" w:type="pct"/>
            <w:hideMark/>
          </w:tcPr>
          <w:p w14:paraId="0EEB114A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ACLF</w:t>
            </w:r>
          </w:p>
        </w:tc>
        <w:tc>
          <w:tcPr>
            <w:tcW w:w="909" w:type="pct"/>
            <w:hideMark/>
          </w:tcPr>
          <w:p w14:paraId="6B02EA2B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007" w:type="pct"/>
            <w:hideMark/>
          </w:tcPr>
          <w:p w14:paraId="69DE6CDA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1014 (100)</w:t>
            </w:r>
          </w:p>
        </w:tc>
        <w:tc>
          <w:tcPr>
            <w:tcW w:w="1448" w:type="pct"/>
            <w:hideMark/>
          </w:tcPr>
          <w:p w14:paraId="1502E381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1014 (42.2)</w:t>
            </w:r>
          </w:p>
        </w:tc>
      </w:tr>
      <w:tr w:rsidR="00C31007" w:rsidRPr="00DD0F3C" w14:paraId="14E5792D" w14:textId="77777777" w:rsidTr="004D51B7">
        <w:trPr>
          <w:trHeight w:val="386"/>
          <w:jc w:val="center"/>
        </w:trPr>
        <w:tc>
          <w:tcPr>
            <w:tcW w:w="1636" w:type="pct"/>
          </w:tcPr>
          <w:p w14:paraId="36BF07A5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28-day mortality</w:t>
            </w:r>
          </w:p>
        </w:tc>
        <w:tc>
          <w:tcPr>
            <w:tcW w:w="909" w:type="pct"/>
          </w:tcPr>
          <w:p w14:paraId="5995260C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007" w:type="pct"/>
          </w:tcPr>
          <w:p w14:paraId="49E183C8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614 (60.6)</w:t>
            </w:r>
          </w:p>
        </w:tc>
        <w:tc>
          <w:tcPr>
            <w:tcW w:w="1448" w:type="pct"/>
          </w:tcPr>
          <w:p w14:paraId="6B897F4C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614 (60.6)</w:t>
            </w:r>
          </w:p>
        </w:tc>
      </w:tr>
      <w:tr w:rsidR="00C31007" w:rsidRPr="00DD0F3C" w14:paraId="442AA9D6" w14:textId="77777777" w:rsidTr="004D51B7">
        <w:trPr>
          <w:trHeight w:val="386"/>
          <w:jc w:val="center"/>
        </w:trPr>
        <w:tc>
          <w:tcPr>
            <w:tcW w:w="1636" w:type="pct"/>
          </w:tcPr>
          <w:p w14:paraId="426682D9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90-day mortality</w:t>
            </w:r>
          </w:p>
        </w:tc>
        <w:tc>
          <w:tcPr>
            <w:tcW w:w="909" w:type="pct"/>
          </w:tcPr>
          <w:p w14:paraId="71B68DF4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007" w:type="pct"/>
          </w:tcPr>
          <w:p w14:paraId="0370C2A7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705 (69.5)</w:t>
            </w:r>
          </w:p>
        </w:tc>
        <w:tc>
          <w:tcPr>
            <w:tcW w:w="1448" w:type="pct"/>
          </w:tcPr>
          <w:p w14:paraId="17E841A2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705 (69.5)</w:t>
            </w:r>
          </w:p>
        </w:tc>
      </w:tr>
      <w:tr w:rsidR="00C31007" w:rsidRPr="00DD0F3C" w14:paraId="49AE4BA9" w14:textId="77777777" w:rsidTr="004D51B7">
        <w:trPr>
          <w:trHeight w:val="386"/>
          <w:jc w:val="center"/>
        </w:trPr>
        <w:tc>
          <w:tcPr>
            <w:tcW w:w="1636" w:type="pct"/>
          </w:tcPr>
          <w:p w14:paraId="33C2433F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Total</w:t>
            </w:r>
          </w:p>
        </w:tc>
        <w:tc>
          <w:tcPr>
            <w:tcW w:w="909" w:type="pct"/>
          </w:tcPr>
          <w:p w14:paraId="3E9A8CD2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499 (20.8)</w:t>
            </w:r>
          </w:p>
        </w:tc>
        <w:tc>
          <w:tcPr>
            <w:tcW w:w="1007" w:type="pct"/>
          </w:tcPr>
          <w:p w14:paraId="4A193253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1899 (79.2)</w:t>
            </w:r>
          </w:p>
        </w:tc>
        <w:tc>
          <w:tcPr>
            <w:tcW w:w="1448" w:type="pct"/>
          </w:tcPr>
          <w:p w14:paraId="43AC726B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2398 (100)</w:t>
            </w:r>
          </w:p>
        </w:tc>
      </w:tr>
      <w:tr w:rsidR="00C31007" w:rsidRPr="00DD0F3C" w14:paraId="782AF8CE" w14:textId="77777777" w:rsidTr="004D51B7">
        <w:trPr>
          <w:trHeight w:val="386"/>
          <w:jc w:val="center"/>
        </w:trPr>
        <w:tc>
          <w:tcPr>
            <w:tcW w:w="1636" w:type="pct"/>
          </w:tcPr>
          <w:p w14:paraId="3E99759A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28-day mortality</w:t>
            </w:r>
          </w:p>
        </w:tc>
        <w:tc>
          <w:tcPr>
            <w:tcW w:w="909" w:type="pct"/>
          </w:tcPr>
          <w:p w14:paraId="20415B4E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53 (10.6)</w:t>
            </w:r>
          </w:p>
        </w:tc>
        <w:tc>
          <w:tcPr>
            <w:tcW w:w="1007" w:type="pct"/>
          </w:tcPr>
          <w:p w14:paraId="06588852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852 (44.9)</w:t>
            </w:r>
          </w:p>
        </w:tc>
        <w:tc>
          <w:tcPr>
            <w:tcW w:w="1448" w:type="pct"/>
          </w:tcPr>
          <w:p w14:paraId="0D72621F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905 (37.7)</w:t>
            </w:r>
          </w:p>
        </w:tc>
      </w:tr>
      <w:tr w:rsidR="00C31007" w:rsidRPr="00DD0F3C" w14:paraId="0C7EF59B" w14:textId="77777777" w:rsidTr="004D51B7">
        <w:trPr>
          <w:trHeight w:val="386"/>
          <w:jc w:val="center"/>
        </w:trPr>
        <w:tc>
          <w:tcPr>
            <w:tcW w:w="1636" w:type="pct"/>
            <w:tcBorders>
              <w:bottom w:val="single" w:sz="4" w:space="0" w:color="auto"/>
            </w:tcBorders>
          </w:tcPr>
          <w:p w14:paraId="2397E3DC" w14:textId="77777777" w:rsidR="00C31007" w:rsidRPr="00DD0F3C" w:rsidRDefault="00C31007" w:rsidP="004D51B7">
            <w:pPr>
              <w:spacing w:line="48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90-day mortality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150D2D7D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82 (16.4)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3596E196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1040 (54.8)</w:t>
            </w:r>
          </w:p>
        </w:tc>
        <w:tc>
          <w:tcPr>
            <w:tcW w:w="1448" w:type="pct"/>
            <w:tcBorders>
              <w:bottom w:val="single" w:sz="4" w:space="0" w:color="auto"/>
            </w:tcBorders>
          </w:tcPr>
          <w:p w14:paraId="785914C6" w14:textId="77777777" w:rsidR="00C31007" w:rsidRPr="00BC1038" w:rsidRDefault="00C31007" w:rsidP="004D51B7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1122 (46.8)</w:t>
            </w:r>
          </w:p>
        </w:tc>
      </w:tr>
    </w:tbl>
    <w:p w14:paraId="7DA0F094" w14:textId="77777777" w:rsidR="00C31007" w:rsidRPr="00346441" w:rsidRDefault="00C31007" w:rsidP="00C31007">
      <w:pPr>
        <w:spacing w:line="480" w:lineRule="auto"/>
        <w:rPr>
          <w:rFonts w:ascii="Times New Roman" w:hAnsi="Times New Roman"/>
          <w:sz w:val="22"/>
          <w:szCs w:val="22"/>
        </w:rPr>
      </w:pPr>
      <w:r w:rsidRPr="00346441">
        <w:rPr>
          <w:rFonts w:ascii="Times New Roman" w:hAnsi="Times New Roman"/>
          <w:color w:val="333333"/>
          <w:sz w:val="22"/>
          <w:szCs w:val="22"/>
          <w:lang w:eastAsia="en-IN"/>
        </w:rPr>
        <w:t>Mortality rates are expressed as proportions within each group. A two-sided p-value &lt;0.05 was considered statistically significant. ACLF, acute-on-chronic liver failure. Data are presented as n (%). Percentages were compared using the Chi-square test.</w:t>
      </w:r>
      <w:r w:rsidRPr="00346441">
        <w:rPr>
          <w:rFonts w:ascii="Times New Roman" w:hAnsi="Times New Roman"/>
          <w:b/>
          <w:bCs/>
          <w:color w:val="333333"/>
          <w:sz w:val="22"/>
          <w:szCs w:val="22"/>
          <w:lang w:eastAsia="en-IN"/>
        </w:rPr>
        <w:br w:type="page"/>
      </w:r>
    </w:p>
    <w:p w14:paraId="311B6A26" w14:textId="77777777" w:rsidR="001A66B3" w:rsidRDefault="001A66B3"/>
    <w:sectPr w:rsidR="001A6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B3"/>
    <w:rsid w:val="001A66B3"/>
    <w:rsid w:val="00C31007"/>
    <w:rsid w:val="00E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EFE56-9166-423E-ACAE-78830733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6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6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6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6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6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1007"/>
    <w:pPr>
      <w:spacing w:after="0" w:line="240" w:lineRule="auto"/>
    </w:pPr>
    <w:rPr>
      <w:rFonts w:eastAsiaTheme="minorEastAsia" w:cs="Times New Roman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2026-05-09T21:58:00Z</dcterms:created>
  <dcterms:modified xsi:type="dcterms:W3CDTF">2026-05-09T21:58:00Z</dcterms:modified>
</cp:coreProperties>
</file>