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EC4D" w14:textId="77777777" w:rsidR="00B946A6" w:rsidRDefault="00B946A6" w:rsidP="00B946A6">
      <w:pPr>
        <w:rPr>
          <w:rFonts w:ascii="Times New Roman" w:hAnsi="Times New Roman" w:cs="Times New Roman"/>
          <w:b/>
          <w:bCs/>
          <w:shd w:val="clear" w:color="auto" w:fill="FFFFFF"/>
        </w:rPr>
      </w:pPr>
    </w:p>
    <w:p w14:paraId="0F4B0A63" w14:textId="77777777" w:rsidR="00B946A6" w:rsidRDefault="00B946A6" w:rsidP="00B946A6">
      <w:pPr>
        <w:rPr>
          <w:rFonts w:ascii="Times New Roman" w:hAnsi="Times New Roman" w:cs="Times New Roman"/>
          <w:b/>
          <w:bCs/>
          <w:shd w:val="clear" w:color="auto" w:fill="FFFFFF"/>
        </w:rPr>
      </w:pPr>
      <w:r>
        <w:rPr>
          <w:rFonts w:ascii="Times New Roman" w:hAnsi="Times New Roman" w:cs="Times New Roman"/>
          <w:b/>
          <w:bCs/>
          <w:noProof/>
          <w:shd w:val="clear" w:color="auto" w:fill="FFFFFF"/>
        </w:rPr>
        <w:drawing>
          <wp:inline distT="0" distB="0" distL="0" distR="0" wp14:anchorId="1CADC0AD" wp14:editId="50C55BFA">
            <wp:extent cx="5273040" cy="5006340"/>
            <wp:effectExtent l="0" t="0" r="3810" b="3810"/>
            <wp:docPr id="4379392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3040" cy="5006340"/>
                    </a:xfrm>
                    <a:prstGeom prst="rect">
                      <a:avLst/>
                    </a:prstGeom>
                    <a:noFill/>
                    <a:ln>
                      <a:noFill/>
                    </a:ln>
                  </pic:spPr>
                </pic:pic>
              </a:graphicData>
            </a:graphic>
          </wp:inline>
        </w:drawing>
      </w:r>
    </w:p>
    <w:p w14:paraId="4CDA2539" w14:textId="77777777" w:rsidR="00B946A6" w:rsidRPr="00C27449" w:rsidRDefault="00B946A6" w:rsidP="00B946A6">
      <w:pPr>
        <w:rPr>
          <w:rFonts w:ascii="Times New Roman" w:hAnsi="Times New Roman" w:cs="Times New Roman"/>
          <w:b/>
          <w:bCs/>
          <w:color w:val="000000" w:themeColor="text1"/>
          <w:shd w:val="clear" w:color="auto" w:fill="FFFFFF"/>
        </w:rPr>
      </w:pPr>
      <w:r w:rsidRPr="00C27449">
        <w:rPr>
          <w:rFonts w:ascii="Times New Roman" w:hAnsi="Times New Roman" w:cs="Times New Roman"/>
          <w:b/>
          <w:bCs/>
          <w:color w:val="000000" w:themeColor="text1"/>
          <w:shd w:val="clear" w:color="auto" w:fill="FFFFFF"/>
        </w:rPr>
        <w:t xml:space="preserve">Supplementary Figure </w:t>
      </w:r>
      <w:r w:rsidRPr="00C27449">
        <w:rPr>
          <w:rFonts w:ascii="Times New Roman" w:hAnsi="Times New Roman" w:cs="Times New Roman" w:hint="eastAsia"/>
          <w:b/>
          <w:bCs/>
          <w:color w:val="000000" w:themeColor="text1"/>
          <w:shd w:val="clear" w:color="auto" w:fill="FFFFFF"/>
        </w:rPr>
        <w:t>3</w:t>
      </w:r>
      <w:r w:rsidRPr="00C27449">
        <w:rPr>
          <w:rFonts w:ascii="Times New Roman" w:hAnsi="Times New Roman" w:cs="Times New Roman"/>
          <w:b/>
          <w:bCs/>
          <w:color w:val="000000" w:themeColor="text1"/>
          <w:shd w:val="clear" w:color="auto" w:fill="FFFFFF"/>
        </w:rPr>
        <w:t>. Molecular subtypes of HCC based on LRLs and their characteristics.</w:t>
      </w:r>
    </w:p>
    <w:p w14:paraId="67D2CA74" w14:textId="77777777" w:rsidR="00B946A6" w:rsidRPr="00C27449" w:rsidRDefault="00B946A6" w:rsidP="00B946A6">
      <w:pPr>
        <w:rPr>
          <w:rFonts w:ascii="Times New Roman" w:hAnsi="Times New Roman" w:cs="Times New Roman"/>
          <w:color w:val="000000" w:themeColor="text1"/>
          <w:shd w:val="clear" w:color="auto" w:fill="FFFFFF"/>
        </w:rPr>
      </w:pPr>
      <w:r w:rsidRPr="00C27449">
        <w:rPr>
          <w:rFonts w:ascii="Times New Roman" w:hAnsi="Times New Roman" w:cs="Times New Roman"/>
          <w:color w:val="000000" w:themeColor="text1"/>
          <w:shd w:val="clear" w:color="auto" w:fill="FFFFFF"/>
        </w:rPr>
        <w:t>(A) PCA and t-SNE plots displaying sample distributions according to risk groups. (B) Heatmap of immune cell infiltration across C1–C3 subtypes quantified by multiple algorithms. (C) Comparison of ESTIMATE score, stromal score, and immune score among C1–C3 subtypes. (D) Expression profiles of immune checkpoint genes across C1–C3 subtypes. (E) Predicted drug sensitivity differences among C1–C3 subtypes.</w:t>
      </w:r>
      <w:r w:rsidRPr="00C27449">
        <w:rPr>
          <w:rFonts w:hint="eastAsia"/>
          <w:color w:val="000000" w:themeColor="text1"/>
        </w:rPr>
        <w:t xml:space="preserve"> </w:t>
      </w:r>
      <w:r w:rsidRPr="00C27449">
        <w:rPr>
          <w:rFonts w:ascii="Times New Roman" w:hAnsi="Times New Roman" w:cs="Times New Roman"/>
          <w:color w:val="000000" w:themeColor="text1"/>
          <w:shd w:val="clear" w:color="auto" w:fill="FFFFFF"/>
        </w:rPr>
        <w:t>Abbreviations: ESTIMATE, Estimation of STromal and Immune cells in MAlignant Tumor tissues using Expression data; IC50, half-maximal inhibitory concentration.</w:t>
      </w:r>
    </w:p>
    <w:p w14:paraId="794E3E3B" w14:textId="77777777" w:rsidR="0067415F" w:rsidRDefault="0067415F"/>
    <w:sectPr w:rsidR="0067415F" w:rsidSect="00B946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BE"/>
    <w:rsid w:val="004244E6"/>
    <w:rsid w:val="005D23ED"/>
    <w:rsid w:val="0067415F"/>
    <w:rsid w:val="00B575BE"/>
    <w:rsid w:val="00B94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D7993-BBA0-44CB-87D6-2C7C8E85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5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5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5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5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5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5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5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5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5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5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5BE"/>
    <w:rPr>
      <w:rFonts w:eastAsiaTheme="majorEastAsia" w:cstheme="majorBidi"/>
      <w:color w:val="272727" w:themeColor="text1" w:themeTint="D8"/>
    </w:rPr>
  </w:style>
  <w:style w:type="paragraph" w:styleId="Title">
    <w:name w:val="Title"/>
    <w:basedOn w:val="Normal"/>
    <w:next w:val="Normal"/>
    <w:link w:val="TitleChar"/>
    <w:uiPriority w:val="10"/>
    <w:qFormat/>
    <w:rsid w:val="00B57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5BE"/>
    <w:pPr>
      <w:spacing w:before="160"/>
      <w:jc w:val="center"/>
    </w:pPr>
    <w:rPr>
      <w:i/>
      <w:iCs/>
      <w:color w:val="404040" w:themeColor="text1" w:themeTint="BF"/>
    </w:rPr>
  </w:style>
  <w:style w:type="character" w:customStyle="1" w:styleId="QuoteChar">
    <w:name w:val="Quote Char"/>
    <w:basedOn w:val="DefaultParagraphFont"/>
    <w:link w:val="Quote"/>
    <w:uiPriority w:val="29"/>
    <w:rsid w:val="00B575BE"/>
    <w:rPr>
      <w:i/>
      <w:iCs/>
      <w:color w:val="404040" w:themeColor="text1" w:themeTint="BF"/>
    </w:rPr>
  </w:style>
  <w:style w:type="paragraph" w:styleId="ListParagraph">
    <w:name w:val="List Paragraph"/>
    <w:basedOn w:val="Normal"/>
    <w:uiPriority w:val="34"/>
    <w:qFormat/>
    <w:rsid w:val="00B575BE"/>
    <w:pPr>
      <w:ind w:left="720"/>
      <w:contextualSpacing/>
    </w:pPr>
  </w:style>
  <w:style w:type="character" w:styleId="IntenseEmphasis">
    <w:name w:val="Intense Emphasis"/>
    <w:basedOn w:val="DefaultParagraphFont"/>
    <w:uiPriority w:val="21"/>
    <w:qFormat/>
    <w:rsid w:val="00B575BE"/>
    <w:rPr>
      <w:i/>
      <w:iCs/>
      <w:color w:val="2F5496" w:themeColor="accent1" w:themeShade="BF"/>
    </w:rPr>
  </w:style>
  <w:style w:type="paragraph" w:styleId="IntenseQuote">
    <w:name w:val="Intense Quote"/>
    <w:basedOn w:val="Normal"/>
    <w:next w:val="Normal"/>
    <w:link w:val="IntenseQuoteChar"/>
    <w:uiPriority w:val="30"/>
    <w:qFormat/>
    <w:rsid w:val="00B575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5BE"/>
    <w:rPr>
      <w:i/>
      <w:iCs/>
      <w:color w:val="2F5496" w:themeColor="accent1" w:themeShade="BF"/>
    </w:rPr>
  </w:style>
  <w:style w:type="character" w:styleId="IntenseReference">
    <w:name w:val="Intense Reference"/>
    <w:basedOn w:val="DefaultParagraphFont"/>
    <w:uiPriority w:val="32"/>
    <w:qFormat/>
    <w:rsid w:val="00B575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2026-08-01T03:50:00Z</dcterms:created>
  <dcterms:modified xsi:type="dcterms:W3CDTF">2026-08-01T03:50:00Z</dcterms:modified>
</cp:coreProperties>
</file>