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05F4" w14:textId="77777777" w:rsidR="00370BBF" w:rsidRDefault="00370BBF" w:rsidP="00370BBF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85A01F0" w14:textId="77777777" w:rsidR="00370BBF" w:rsidRDefault="00370BBF" w:rsidP="00370BBF">
      <w:pPr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hd w:val="clear" w:color="auto" w:fill="FFFFFF"/>
        </w:rPr>
        <w:drawing>
          <wp:inline distT="0" distB="0" distL="0" distR="0" wp14:anchorId="03D8E148" wp14:editId="32473FBA">
            <wp:extent cx="5273040" cy="6522720"/>
            <wp:effectExtent l="0" t="0" r="3810" b="0"/>
            <wp:docPr id="5160637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652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12AE" w14:textId="77777777" w:rsidR="00370BBF" w:rsidRPr="00C27449" w:rsidRDefault="00370BBF" w:rsidP="00370BBF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C2744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Supplementary Figure 2. Consensus clustering and molecular subtype identification based on prognostic LRLs.</w:t>
      </w:r>
    </w:p>
    <w:p w14:paraId="2B5E4E54" w14:textId="171E636C" w:rsidR="0067415F" w:rsidRDefault="00370BBF" w:rsidP="00370BBF">
      <w:r w:rsidRPr="00C2744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(A) Tracking plot showing sample assignments across different cluster numbers (K values). (B) Delta area plot displaying relative changes in the cumulative distribution function (CDF) curve for different K values. (C) Consensus CDF plot illustrating the distribution of consensus indices </w:t>
      </w:r>
      <w:r w:rsidRPr="00C27449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across K values. (D) Consensus matrix heatmap showing clustering stability at the optimal K value. (E) Sankey diagram depicting the relationship between molecular subtypes (C1–C3) and risk groups. (F) Kaplan–Meier survival curves comparing overall survival among C1, C2, and C3 subtypes. (G-H) PCA and t-SNE plots displaying sample distributions according to molecular subtypes.</w:t>
      </w:r>
      <w:r w:rsidRPr="00C27449">
        <w:rPr>
          <w:rFonts w:hint="eastAsia"/>
          <w:color w:val="000000" w:themeColor="text1"/>
        </w:rPr>
        <w:t xml:space="preserve"> </w:t>
      </w:r>
      <w:r w:rsidRPr="00C27449">
        <w:rPr>
          <w:rFonts w:ascii="Times New Roman" w:hAnsi="Times New Roman" w:cs="Times New Roman"/>
          <w:color w:val="000000" w:themeColor="text1"/>
          <w:shd w:val="clear" w:color="auto" w:fill="FFFFFF"/>
        </w:rPr>
        <w:t>Abbreviations: LRL, lipid metabolism-related lncRNA; PCA, principal component analysis; t-SNE, t-distributed stochastic neighbor embedding.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B6"/>
    <w:rsid w:val="00370BBF"/>
    <w:rsid w:val="004244E6"/>
    <w:rsid w:val="005D23ED"/>
    <w:rsid w:val="0067415F"/>
    <w:rsid w:val="00E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9DB25-ECA8-4923-AB17-C571385C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6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6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6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6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6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6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6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6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6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6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6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2026-08-01T03:50:00Z</dcterms:created>
  <dcterms:modified xsi:type="dcterms:W3CDTF">2026-08-01T03:50:00Z</dcterms:modified>
</cp:coreProperties>
</file>