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A7287" w14:textId="77777777" w:rsidR="00897373" w:rsidRPr="00D80976" w:rsidRDefault="00897373" w:rsidP="00897373">
      <w:pPr>
        <w:rPr>
          <w:rFonts w:ascii="Times New Roman" w:hAnsi="Times New Roman" w:cs="Times New Roman"/>
          <w:color w:val="FF0000"/>
          <w:sz w:val="32"/>
          <w:szCs w:val="32"/>
        </w:rPr>
      </w:pPr>
    </w:p>
    <w:p w14:paraId="4D887F7B" w14:textId="77777777" w:rsidR="00897373" w:rsidRPr="008252F1" w:rsidRDefault="00897373" w:rsidP="00897373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A178E2A" wp14:editId="44B5927C">
            <wp:extent cx="5273040" cy="5600700"/>
            <wp:effectExtent l="0" t="0" r="3810" b="0"/>
            <wp:docPr id="5678174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F74BE" w14:textId="77777777" w:rsidR="00897373" w:rsidRPr="00C27449" w:rsidRDefault="00897373" w:rsidP="00897373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C2744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Supplementary Figure 1. Immune infiltration, immune checkpoint expression, and drug sensitivity analysis between high- and low-risk groups.</w:t>
      </w:r>
    </w:p>
    <w:p w14:paraId="027E5573" w14:textId="77777777" w:rsidR="00897373" w:rsidRPr="00C27449" w:rsidRDefault="00897373" w:rsidP="00897373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C27449">
        <w:rPr>
          <w:rFonts w:ascii="Times New Roman" w:hAnsi="Times New Roman" w:cs="Times New Roman"/>
          <w:color w:val="000000" w:themeColor="text1"/>
          <w:shd w:val="clear" w:color="auto" w:fill="FFFFFF"/>
        </w:rPr>
        <w:t>(A) Immune cell infiltration quantified by multiple algorithms (e.g., Xcell, TIMER, QUANTISEQ, MCPCOUNTER, EPIC, CIBERSORTabs, CIBERSORT). (B) Comparison of immune cell infiltration patterns between high- and low-risk groups.</w:t>
      </w:r>
    </w:p>
    <w:p w14:paraId="43A0C7A3" w14:textId="77777777" w:rsidR="00897373" w:rsidRPr="00C27449" w:rsidRDefault="00897373" w:rsidP="00897373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C27449">
        <w:rPr>
          <w:rFonts w:ascii="Times New Roman" w:hAnsi="Times New Roman" w:cs="Times New Roman"/>
          <w:color w:val="000000" w:themeColor="text1"/>
          <w:shd w:val="clear" w:color="auto" w:fill="FFFFFF"/>
        </w:rPr>
        <w:t>(C) Immune function differences between high- and low-risk groups. (D) Differential expression of immune checkpoint genes between high- and low-risk groups. (E) Predicted drug sensitivity profiles of high- and low-risk groups.</w:t>
      </w:r>
      <w:r w:rsidRPr="00C27449">
        <w:rPr>
          <w:rFonts w:hint="eastAsia"/>
          <w:color w:val="000000" w:themeColor="text1"/>
        </w:rPr>
        <w:t xml:space="preserve"> </w:t>
      </w:r>
      <w:r w:rsidRPr="00C2744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Abbreviations: LRL, lipid metabolism-related lncRNA; </w:t>
      </w:r>
      <w:r w:rsidRPr="00C27449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>NK, natural killer; ssGSEA, single-sample gene set enrichment analysis; IC50, half-maximal inhibitory concentration.</w:t>
      </w:r>
    </w:p>
    <w:p w14:paraId="46504BD4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A2F"/>
    <w:rsid w:val="004244E6"/>
    <w:rsid w:val="005D23ED"/>
    <w:rsid w:val="0067415F"/>
    <w:rsid w:val="00790A2F"/>
    <w:rsid w:val="0089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369BC7-EE51-402C-A11C-95C24A30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A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A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A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A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A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A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A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A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A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A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A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A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A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A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A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A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A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2026-08-01T03:49:00Z</dcterms:created>
  <dcterms:modified xsi:type="dcterms:W3CDTF">2026-08-01T03:49:00Z</dcterms:modified>
</cp:coreProperties>
</file>