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2023" w:rsidRDefault="00E04915">
      <w:pPr>
        <w:pStyle w:val="aa"/>
        <w:spacing w:after="120" w:line="276" w:lineRule="auto"/>
        <w:jc w:val="center"/>
      </w:pPr>
      <w:bookmarkStart w:id="0" w:name="_GoBack"/>
      <w:bookmarkEnd w:id="0"/>
      <w:r>
        <w:t>PRISMA 2020 checklist mapping</w:t>
      </w:r>
    </w:p>
    <w:p w:rsidR="00632023" w:rsidRDefault="00E04915">
      <w:pPr>
        <w:spacing w:after="120"/>
      </w:pPr>
      <w:r>
        <w:t>Screening and extraction were completed independently by the two authors, with discrepancies resolved through discussion and consensus. The final study-selection flow and six-category distribution of 177 full-text exclusions are shown in Figure 1.</w:t>
      </w:r>
    </w:p>
    <w:tbl>
      <w:tblPr>
        <w:tblStyle w:val="aff1"/>
        <w:tblW w:w="0" w:type="auto"/>
        <w:jc w:val="center"/>
        <w:tblLook w:val="04A0" w:firstRow="1" w:lastRow="0" w:firstColumn="1" w:lastColumn="0" w:noHBand="0" w:noVBand="1"/>
      </w:tblPr>
      <w:tblGrid>
        <w:gridCol w:w="1894"/>
        <w:gridCol w:w="2157"/>
        <w:gridCol w:w="2078"/>
        <w:gridCol w:w="3221"/>
      </w:tblGrid>
      <w:tr w:rsidR="00632023">
        <w:trPr>
          <w:tblHeader/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b/>
                <w:sz w:val="18"/>
              </w:rPr>
              <w:t>Item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b/>
                <w:sz w:val="18"/>
              </w:rPr>
              <w:t>Topic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b/>
                <w:sz w:val="18"/>
              </w:rPr>
              <w:t>Manuscript location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b/>
                <w:sz w:val="18"/>
              </w:rPr>
              <w:t>Status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Title identifies systematic review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Title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2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Structured abstract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Abstract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3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Rationale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Introduction; p. 2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4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Objectives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Introduction; p. 2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5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Eligibility criteria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Methods—Information sources and study selection; p. 3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6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Information sources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Methods—Information sources and study selection; Supplementary Table S1; p. 3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7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Search strategy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Supplementary Table S1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Selection process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Methods—Information sources and study selection; p. 3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COMPLETE; two authors independently screened, with discussion and consensus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9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Data collection process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Methods—Data extraction and verification; p. 3, 5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COMPLETE; duplicate author extraction, with discussion and direct source rechecking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10a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Data items: outcomes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Methods—Data extraction and verification; p. 3, 5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10b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Data items: other variables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Methods—Study identity and clinical classification; p. 3, 4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11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Risk-of-bias assessment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 xml:space="preserve">Methods and Supplementary Table </w:t>
            </w:r>
            <w:r w:rsidR="00C0715F">
              <w:rPr>
                <w:sz w:val="18"/>
              </w:rPr>
              <w:t>S5</w:t>
            </w:r>
            <w:r>
              <w:rPr>
                <w:sz w:val="18"/>
              </w:rPr>
              <w:t>; p. 3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COMPLETE; duplicate author review with consensus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12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Effect measures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Methods—Statistical analysis; p. 3, 7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13a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Eligibility for each synthesis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Methods—Analysis hierarchy; p. 3, 6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13b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Data preparation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Methods—Statistical analysis; p. 3, 7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13c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Tabulation/visual display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 (p. 3), figures and legends; separate Tables 1 and 2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13d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Synthesis methods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Methods—Statistical analysis; p. 3, 7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13e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Heterogeneity exploration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 and Results; p. 3, 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 within low-study-count limits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13f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Sensitivity analyses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 xml:space="preserve">Methods, Results, and Figure </w:t>
            </w:r>
            <w:r w:rsidR="00C0715F">
              <w:rPr>
                <w:sz w:val="18"/>
              </w:rPr>
              <w:t>2</w:t>
            </w:r>
            <w:r>
              <w:rPr>
                <w:sz w:val="18"/>
              </w:rPr>
              <w:t>; p. 3, 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14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Reporting-bias assessment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 and Results; p. 3, 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COMPLETE; formal tests not performed because k&lt;10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15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Certainty assessment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Methods, Results, Table 2, and Supplementary Table S6; p. 3, 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COMPLETE; duplicate author GRADE review with consensus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16a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Study selection results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Results and Figure 1; p. 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COMPLETE; arithmetic verified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lastRenderedPageBreak/>
              <w:t>16b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Excluded studies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Figure 1 and Results—Study selection and characteristics; p. 8</w:t>
            </w:r>
          </w:p>
        </w:tc>
        <w:tc>
          <w:tcPr>
            <w:tcW w:w="2340" w:type="dxa"/>
            <w:vAlign w:val="center"/>
          </w:tcPr>
          <w:p w:rsidR="00632023" w:rsidRDefault="008E7D33">
            <w:r w:rsidRPr="008E7D33">
              <w:rPr>
                <w:sz w:val="18"/>
              </w:rPr>
              <w:t xml:space="preserve">COMPLETE; potentially eligible excluded studies are identified where relevant; for example, </w:t>
            </w:r>
            <w:proofErr w:type="spellStart"/>
            <w:r w:rsidRPr="008E7D33">
              <w:rPr>
                <w:sz w:val="18"/>
              </w:rPr>
              <w:t>Vychopen</w:t>
            </w:r>
            <w:proofErr w:type="spellEnd"/>
            <w:r w:rsidRPr="008E7D33">
              <w:rPr>
                <w:sz w:val="18"/>
              </w:rPr>
              <w:t xml:space="preserve"> et al. (Ref. 56) was excluded because watertight or sealing intent was not explicitly specified for the </w:t>
            </w:r>
            <w:proofErr w:type="spellStart"/>
            <w:r w:rsidRPr="008E7D33">
              <w:rPr>
                <w:sz w:val="18"/>
              </w:rPr>
              <w:t>dural</w:t>
            </w:r>
            <w:proofErr w:type="spellEnd"/>
            <w:r w:rsidRPr="008E7D33">
              <w:rPr>
                <w:sz w:val="18"/>
              </w:rPr>
              <w:t xml:space="preserve"> reconstruction arm.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17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Study characteristics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Results and Table 1; p. 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Risk of bias in studies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 xml:space="preserve">Results and Supplementary Table </w:t>
            </w:r>
            <w:r w:rsidR="00C0715F">
              <w:rPr>
                <w:sz w:val="18"/>
              </w:rPr>
              <w:t>S5</w:t>
            </w:r>
            <w:r>
              <w:rPr>
                <w:sz w:val="18"/>
              </w:rPr>
              <w:t>; p. 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19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Individual-study results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Results, Figures 2–5, and supplement; p. 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20a–d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Results of syntheses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Results, Figures 2–4, and Table 2; p. 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COMPLETE; the primary overall analysis retains design subgroups and named-technique qualifications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21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Reporting biases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Results; p. 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COMPLETE; not assessable at k&lt;10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22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Certainty of evidence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Results, Table 2, and Supplementary Table S6; p. 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COMPLETE; domain-level downgrade reasons provided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23a–d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Discussion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Discussion; p. 12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24a–c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Protocol and analysis methods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Methods—Protocol and reporting; Discussion—Strengths and limitations; Declarations—Data, code, and protocol availability</w:t>
            </w:r>
          </w:p>
        </w:tc>
        <w:tc>
          <w:tcPr>
            <w:tcW w:w="2340" w:type="dxa"/>
            <w:vAlign w:val="center"/>
          </w:tcPr>
          <w:p w:rsidR="00632023" w:rsidRPr="00FF0B79" w:rsidRDefault="00E04915" w:rsidP="00FF0B79">
            <w:pPr>
              <w:rPr>
                <w:sz w:val="18"/>
              </w:rPr>
            </w:pPr>
            <w:r w:rsidRPr="00FF0B79">
              <w:rPr>
                <w:sz w:val="18"/>
              </w:rPr>
              <w:t>COMPLETE; This systematic review was not prospectively registered. After completion of the review, the protocol was retrospectively deposited on protocols.io (record key: j9kfcr4tp)</w:t>
            </w:r>
            <w:r w:rsidR="00F24072">
              <w:rPr>
                <w:sz w:val="18"/>
              </w:rPr>
              <w:t xml:space="preserve"> (</w:t>
            </w:r>
            <w:r w:rsidR="00F24072" w:rsidRPr="00F24072">
              <w:rPr>
                <w:sz w:val="18"/>
              </w:rPr>
              <w:t>available at https://www.protocols.io/view/j9kfcr4tp</w:t>
            </w:r>
            <w:r w:rsidR="00F24072">
              <w:rPr>
                <w:sz w:val="18"/>
              </w:rPr>
              <w:t>)</w:t>
            </w:r>
            <w:r w:rsidRPr="00FF0B79">
              <w:rPr>
                <w:sz w:val="18"/>
              </w:rPr>
              <w:t>.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25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Support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Declarations; p. 18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COMPLETE; no specific funding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26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Competing interests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Declarations; p. 18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COMPLETE; none declared</w:t>
            </w:r>
          </w:p>
        </w:tc>
      </w:tr>
      <w:tr w:rsidR="00632023">
        <w:trPr>
          <w:jc w:val="center"/>
        </w:trPr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27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Availability of data/code/materials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Data-sharing statement</w:t>
            </w:r>
          </w:p>
        </w:tc>
        <w:tc>
          <w:tcPr>
            <w:tcW w:w="2340" w:type="dxa"/>
            <w:vAlign w:val="center"/>
          </w:tcPr>
          <w:p w:rsidR="00632023" w:rsidRDefault="00E04915">
            <w:r>
              <w:rPr>
                <w:sz w:val="18"/>
              </w:rPr>
              <w:t>Available from the corresponding author on reasonable request</w:t>
            </w:r>
          </w:p>
        </w:tc>
      </w:tr>
    </w:tbl>
    <w:p w:rsidR="00E04915" w:rsidRDefault="00E04915"/>
    <w:sectPr w:rsidR="00E04915" w:rsidSect="00034616">
      <w:footerReference w:type="default" r:id="rId8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740CF" w:rsidRDefault="001740CF">
      <w:pPr>
        <w:spacing w:line="240" w:lineRule="auto"/>
      </w:pPr>
      <w:r>
        <w:separator/>
      </w:r>
    </w:p>
  </w:endnote>
  <w:endnote w:type="continuationSeparator" w:id="0">
    <w:p w:rsidR="001740CF" w:rsidRDefault="001740C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32023" w:rsidRDefault="00E04915">
    <w:pPr>
      <w:pStyle w:val="a7"/>
      <w:jc w:val="center"/>
    </w:pPr>
    <w:r>
      <w:t xml:space="preserve">Page </w:t>
    </w:r>
    <w:r>
      <w:fldChar w:fldCharType="begin"/>
    </w:r>
    <w:r>
      <w:instrText>PAGE</w:instrText>
    </w:r>
    <w:r>
      <w:fldChar w:fldCharType="separate"/>
    </w:r>
    <w:r w:rsidR="00FF0B79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740CF" w:rsidRDefault="001740CF">
      <w:pPr>
        <w:spacing w:line="240" w:lineRule="auto"/>
      </w:pPr>
      <w:r>
        <w:separator/>
      </w:r>
    </w:p>
  </w:footnote>
  <w:footnote w:type="continuationSeparator" w:id="0">
    <w:p w:rsidR="001740CF" w:rsidRDefault="001740C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52D"/>
    <w:rsid w:val="00034616"/>
    <w:rsid w:val="0006063C"/>
    <w:rsid w:val="000B045A"/>
    <w:rsid w:val="0015074B"/>
    <w:rsid w:val="001740CF"/>
    <w:rsid w:val="0029639D"/>
    <w:rsid w:val="00326F90"/>
    <w:rsid w:val="004107EF"/>
    <w:rsid w:val="00632023"/>
    <w:rsid w:val="008E7D33"/>
    <w:rsid w:val="00AA1D8D"/>
    <w:rsid w:val="00B47730"/>
    <w:rsid w:val="00C0715F"/>
    <w:rsid w:val="00CB0664"/>
    <w:rsid w:val="00E04915"/>
    <w:rsid w:val="00F24072"/>
    <w:rsid w:val="00FC693F"/>
    <w:rsid w:val="00FF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D4923D4C-7D45-45AA-9E87-EBB30B85D7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pPr>
      <w:spacing w:after="0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 w:line="240" w:lineRule="auto"/>
      <w:outlineLvl w:val="0"/>
    </w:pPr>
    <w:rPr>
      <w:b/>
      <w:bCs/>
      <w:sz w:val="24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80" w:line="240" w:lineRule="auto"/>
      <w:outlineLvl w:val="1"/>
    </w:pPr>
    <w:rPr>
      <w:b/>
      <w:bCs/>
      <w:sz w:val="24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40" w:line="240" w:lineRule="auto"/>
      <w:outlineLvl w:val="2"/>
    </w:pPr>
    <w:rPr>
      <w:b/>
      <w:bCs/>
      <w:sz w:val="2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b/>
      <w:bCs/>
      <w:i/>
      <w:iCs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i/>
      <w:iCs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i/>
      <w:iCs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i/>
      <w:iCs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页眉 字符"/>
    <w:basedOn w:val="a2"/>
    <w:link w:val="a5"/>
    <w:uiPriority w:val="99"/>
    <w:rsid w:val="00E618BF"/>
    <w:rPr>
      <w:rFonts w:ascii="Times New Roman" w:eastAsia="Times New Roman" w:hAnsi="Times New Roman" w:cs="Times New Roman"/>
      <w:color w:val="000000"/>
    </w:rPr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页脚 字符"/>
    <w:basedOn w:val="a2"/>
    <w:link w:val="a7"/>
    <w:uiPriority w:val="99"/>
    <w:rsid w:val="00E618BF"/>
    <w:rPr>
      <w:rFonts w:ascii="Times New Roman" w:eastAsia="Times New Roman" w:hAnsi="Times New Roman" w:cs="Times New Roman"/>
      <w:color w:val="000000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</w:style>
  <w:style w:type="character" w:customStyle="1" w:styleId="10">
    <w:name w:val="标题 1 字符"/>
    <w:basedOn w:val="a2"/>
    <w:link w:val="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="Times New Roman" w:eastAsia="Times New Roman" w:hAnsi="Times New Roman" w:cs="Times New Roman"/>
      <w:b/>
      <w:bCs/>
      <w:color w:val="000000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="Times New Roman" w:eastAsia="Times New Roman" w:hAnsi="Times New Roman" w:cs="Times New Roman"/>
      <w:b/>
      <w:bCs/>
      <w:color w:val="000000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before="240" w:after="160" w:line="240" w:lineRule="auto"/>
      <w:contextualSpacing/>
    </w:pPr>
    <w:rPr>
      <w:b/>
      <w:spacing w:val="5"/>
      <w:kern w:val="28"/>
      <w:sz w:val="3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="Times New Roman" w:eastAsia="Times New Roman" w:hAnsi="Times New Roman" w:cs="Times New Roman"/>
      <w:color w:val="000000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i/>
      <w:iCs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="Times New Roman" w:eastAsia="Times New Roman" w:hAnsi="Times New Roman" w:cs="Times New Roman"/>
      <w:i/>
      <w:iCs/>
      <w:color w:val="000000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  <w:rPr>
      <w:rFonts w:ascii="Times New Roman" w:eastAsia="Times New Roman" w:hAnsi="Times New Roman" w:cs="Times New Roman"/>
      <w:color w:val="000000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  <w:rPr>
      <w:rFonts w:ascii="Times New Roman" w:eastAsia="Times New Roman" w:hAnsi="Times New Roman" w:cs="Times New Roman"/>
      <w:color w:val="000000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rFonts w:ascii="Times New Roman" w:eastAsia="Times New Roman" w:hAnsi="Times New Roman" w:cs="Times New Roman"/>
      <w:color w:val="000000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Times New Roman" w:eastAsia="Times New Roman" w:hAnsi="Times New Roman" w:cs="Times New Roman"/>
      <w:color w:val="000000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</w:rPr>
  </w:style>
  <w:style w:type="character" w:customStyle="1" w:styleId="af6">
    <w:name w:val="引用 字符"/>
    <w:basedOn w:val="a2"/>
    <w:link w:val="af5"/>
    <w:uiPriority w:val="29"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="Times New Roman" w:eastAsia="Times New Roman" w:hAnsi="Times New Roman" w:cs="Times New Roman"/>
      <w:color w:val="000000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="Times New Roman" w:eastAsia="Times New Roman" w:hAnsi="Times New Roman" w:cs="Times New Roman"/>
      <w:i/>
      <w:iCs/>
      <w:color w:val="000000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480" w:lineRule="auto"/>
    </w:pPr>
    <w:rPr>
      <w:bCs/>
      <w:szCs w:val="18"/>
    </w:rPr>
  </w:style>
  <w:style w:type="character" w:styleId="af8">
    <w:name w:val="Strong"/>
    <w:basedOn w:val="a2"/>
    <w:uiPriority w:val="22"/>
    <w:qFormat/>
    <w:rsid w:val="00FC693F"/>
    <w:rPr>
      <w:rFonts w:ascii="Times New Roman" w:eastAsia="Times New Roman" w:hAnsi="Times New Roman" w:cs="Times New Roman"/>
      <w:b/>
      <w:bCs/>
      <w:color w:val="000000"/>
    </w:rPr>
  </w:style>
  <w:style w:type="character" w:styleId="af9">
    <w:name w:val="Emphasis"/>
    <w:basedOn w:val="a2"/>
    <w:uiPriority w:val="20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afb">
    <w:name w:val="明显引用 字符"/>
    <w:basedOn w:val="a2"/>
    <w:link w:val="afa"/>
    <w:uiPriority w:val="30"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afc">
    <w:name w:val="Subtle Emphasis"/>
    <w:basedOn w:val="a2"/>
    <w:uiPriority w:val="19"/>
    <w:qFormat/>
    <w:rsid w:val="00FC693F"/>
    <w:rPr>
      <w:rFonts w:ascii="Times New Roman" w:eastAsia="Times New Roman" w:hAnsi="Times New Roman" w:cs="Times New Roman"/>
      <w:i/>
      <w:iCs/>
      <w:color w:val="000000"/>
    </w:rPr>
  </w:style>
  <w:style w:type="character" w:styleId="afd">
    <w:name w:val="Intense Emphasis"/>
    <w:basedOn w:val="a2"/>
    <w:uiPriority w:val="21"/>
    <w:qFormat/>
    <w:rsid w:val="00FC693F"/>
    <w:rPr>
      <w:rFonts w:ascii="Times New Roman" w:eastAsia="Times New Roman" w:hAnsi="Times New Roman" w:cs="Times New Roman"/>
      <w:b/>
      <w:bCs/>
      <w:i/>
      <w:iCs/>
      <w:color w:val="000000"/>
    </w:rPr>
  </w:style>
  <w:style w:type="character" w:styleId="afe">
    <w:name w:val="Subtle Reference"/>
    <w:basedOn w:val="a2"/>
    <w:uiPriority w:val="31"/>
    <w:qFormat/>
    <w:rsid w:val="00FC693F"/>
    <w:rPr>
      <w:rFonts w:ascii="Times New Roman" w:eastAsia="Times New Roman" w:hAnsi="Times New Roman" w:cs="Times New Roman"/>
      <w:smallCaps/>
      <w:color w:val="000000"/>
      <w:u w:val="single"/>
    </w:rPr>
  </w:style>
  <w:style w:type="character" w:styleId="aff">
    <w:name w:val="Intense Reference"/>
    <w:basedOn w:val="a2"/>
    <w:uiPriority w:val="32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rFonts w:ascii="Times New Roman" w:eastAsia="Times New Roman" w:hAnsi="Times New Roman" w:cs="Times New Roman"/>
      <w:b/>
      <w:bCs/>
      <w:smallCaps/>
      <w:color w:val="000000"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rFonts w:ascii="Times New Roman" w:eastAsia="Times New Roman" w:hAnsi="Times New Roman" w:cs="Times New Roman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gureLegend">
    <w:name w:val="Figure Legend"/>
    <w:pPr>
      <w:spacing w:after="0" w:line="480" w:lineRule="auto"/>
    </w:pPr>
    <w:rPr>
      <w:rFonts w:ascii="Times New Roman" w:eastAsia="Times New Roman" w:hAnsi="Times New Roman" w:cs="Times New Roman"/>
      <w:color w:val="000000"/>
    </w:rPr>
  </w:style>
  <w:style w:type="character" w:styleId="aff9">
    <w:name w:val="line number"/>
    <w:basedOn w:val="a2"/>
    <w:uiPriority w:val="99"/>
    <w:semiHidden/>
    <w:unhideWhenUsed/>
    <w:rsid w:val="00FF0B79"/>
  </w:style>
  <w:style w:type="paragraph" w:styleId="affa">
    <w:name w:val="Balloon Text"/>
    <w:basedOn w:val="a1"/>
    <w:link w:val="affb"/>
    <w:uiPriority w:val="99"/>
    <w:semiHidden/>
    <w:unhideWhenUsed/>
    <w:rsid w:val="00C0715F"/>
    <w:pPr>
      <w:spacing w:line="240" w:lineRule="auto"/>
    </w:pPr>
    <w:rPr>
      <w:sz w:val="18"/>
      <w:szCs w:val="18"/>
    </w:rPr>
  </w:style>
  <w:style w:type="character" w:customStyle="1" w:styleId="affb">
    <w:name w:val="批注框文本 字符"/>
    <w:basedOn w:val="a2"/>
    <w:link w:val="affa"/>
    <w:uiPriority w:val="99"/>
    <w:semiHidden/>
    <w:rsid w:val="00C0715F"/>
    <w:rPr>
      <w:rFonts w:ascii="Times New Roman" w:eastAsia="Times New Roman" w:hAnsi="Times New Roman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31FFB7C-6277-4DF0-91ED-C992A1DAF6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575</Words>
  <Characters>3279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Zixuan Ma;Junfeng Feng</dc:creator>
  <cp:keywords/>
  <dc:description>generated by python-docx</dc:description>
  <cp:lastModifiedBy>JZ</cp:lastModifiedBy>
  <cp:revision>6</cp:revision>
  <dcterms:created xsi:type="dcterms:W3CDTF">2026-09-17T05:53:00Z</dcterms:created>
  <dcterms:modified xsi:type="dcterms:W3CDTF">2026-09-22T09:19:00Z</dcterms:modified>
  <cp:category/>
</cp:coreProperties>
</file>