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44D" w:rsidRDefault="003B344D" w:rsidP="003B344D">
      <w:pPr>
        <w:pageBreakBefore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102" w:right="102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宋体" w:hAnsi="Times New Roman" w:cs="Times New Roman"/>
          <w:b/>
          <w:bCs/>
          <w:szCs w:val="21"/>
          <w:lang/>
        </w:rPr>
        <w:t xml:space="preserve">Supplementary Table </w:t>
      </w:r>
      <w:r>
        <w:rPr>
          <w:rFonts w:ascii="Times New Roman" w:eastAsia="宋体" w:hAnsi="Times New Roman" w:cs="Times New Roman" w:hint="eastAsia"/>
          <w:b/>
          <w:bCs/>
          <w:sz w:val="21"/>
          <w:szCs w:val="21"/>
          <w:lang w:eastAsia="zh-CN"/>
        </w:rPr>
        <w:t xml:space="preserve">9 </w:t>
      </w:r>
      <w:r>
        <w:rPr>
          <w:rFonts w:ascii="Times New Roman" w:eastAsia="Segoe UI" w:hAnsi="Times New Roman" w:cs="Times New Roman"/>
          <w:sz w:val="21"/>
          <w:szCs w:val="21"/>
          <w:lang w:eastAsia="zh-CN"/>
        </w:rPr>
        <w:t>Etiology-</w:t>
      </w:r>
      <w:r>
        <w:rPr>
          <w:rFonts w:ascii="Times New Roman" w:eastAsia="Segoe UI" w:hAnsi="Times New Roman" w:cs="Times New Roman" w:hint="eastAsia"/>
          <w:sz w:val="21"/>
          <w:szCs w:val="21"/>
          <w:lang w:eastAsia="zh-CN"/>
        </w:rPr>
        <w:t>s</w:t>
      </w:r>
      <w:r>
        <w:rPr>
          <w:rFonts w:ascii="Times New Roman" w:eastAsia="Segoe UI" w:hAnsi="Times New Roman" w:cs="Times New Roman"/>
          <w:sz w:val="21"/>
          <w:szCs w:val="21"/>
          <w:lang w:eastAsia="zh-CN"/>
        </w:rPr>
        <w:t xml:space="preserve">pecific </w:t>
      </w:r>
      <w:r>
        <w:rPr>
          <w:rFonts w:ascii="Times New Roman" w:eastAsia="Segoe UI" w:hAnsi="Times New Roman" w:cs="Times New Roman" w:hint="eastAsia"/>
          <w:sz w:val="21"/>
          <w:szCs w:val="21"/>
          <w:lang w:eastAsia="zh-CN"/>
        </w:rPr>
        <w:t>t</w:t>
      </w:r>
      <w:r>
        <w:rPr>
          <w:rFonts w:ascii="Times New Roman" w:eastAsia="Segoe UI" w:hAnsi="Times New Roman" w:cs="Times New Roman"/>
          <w:sz w:val="21"/>
          <w:szCs w:val="21"/>
          <w:lang w:eastAsia="zh-CN"/>
        </w:rPr>
        <w:t xml:space="preserve">herapies and </w:t>
      </w:r>
      <w:r>
        <w:rPr>
          <w:rFonts w:ascii="Times New Roman" w:eastAsia="Segoe UI" w:hAnsi="Times New Roman" w:cs="Times New Roman" w:hint="eastAsia"/>
          <w:sz w:val="21"/>
          <w:szCs w:val="21"/>
          <w:lang w:eastAsia="zh-CN"/>
        </w:rPr>
        <w:t>further d</w:t>
      </w:r>
      <w:r>
        <w:rPr>
          <w:rFonts w:ascii="Times New Roman" w:eastAsia="Segoe UI" w:hAnsi="Times New Roman" w:cs="Times New Roman"/>
          <w:sz w:val="21"/>
          <w:szCs w:val="21"/>
          <w:lang w:eastAsia="zh-CN"/>
        </w:rPr>
        <w:t xml:space="preserve">ecompensation </w:t>
      </w:r>
      <w:r>
        <w:rPr>
          <w:rFonts w:ascii="Times New Roman" w:eastAsia="Segoe UI" w:hAnsi="Times New Roman" w:cs="Times New Roman" w:hint="eastAsia"/>
          <w:sz w:val="21"/>
          <w:szCs w:val="21"/>
          <w:lang w:eastAsia="zh-CN"/>
        </w:rPr>
        <w:t>o</w:t>
      </w:r>
      <w:r>
        <w:rPr>
          <w:rFonts w:ascii="Times New Roman" w:eastAsia="Segoe UI" w:hAnsi="Times New Roman" w:cs="Times New Roman"/>
          <w:sz w:val="21"/>
          <w:szCs w:val="21"/>
          <w:lang w:eastAsia="zh-CN"/>
        </w:rPr>
        <w:t>utcomes</w:t>
      </w:r>
    </w:p>
    <w:tbl>
      <w:tblPr>
        <w:tblW w:w="9380" w:type="dxa"/>
        <w:tblLayout w:type="fixed"/>
        <w:tblLook w:val="04A0"/>
      </w:tblPr>
      <w:tblGrid>
        <w:gridCol w:w="2113"/>
        <w:gridCol w:w="3030"/>
        <w:gridCol w:w="1447"/>
        <w:gridCol w:w="2790"/>
      </w:tblGrid>
      <w:tr w:rsidR="003B344D" w:rsidTr="005E3DED">
        <w:trPr>
          <w:trHeight w:val="285"/>
        </w:trPr>
        <w:tc>
          <w:tcPr>
            <w:tcW w:w="21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3B344D" w:rsidRDefault="003B344D" w:rsidP="005E3DED">
            <w:pPr>
              <w:rPr>
                <w:rFonts w:ascii="Times New Roman" w:eastAsia="Segoe UI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b/>
                <w:bCs/>
                <w:sz w:val="20"/>
                <w:szCs w:val="20"/>
                <w:lang w:eastAsia="zh-CN"/>
              </w:rPr>
              <w:t>Etiology</w:t>
            </w:r>
          </w:p>
        </w:tc>
        <w:tc>
          <w:tcPr>
            <w:tcW w:w="30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3B344D" w:rsidRDefault="003B344D" w:rsidP="005E3DED">
            <w:pPr>
              <w:rPr>
                <w:rFonts w:ascii="Times New Roman" w:eastAsia="Segoe UI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b/>
                <w:bCs/>
                <w:sz w:val="20"/>
                <w:szCs w:val="20"/>
                <w:lang w:eastAsia="zh-CN"/>
              </w:rPr>
              <w:t>Therapy Group</w:t>
            </w:r>
          </w:p>
        </w:tc>
        <w:tc>
          <w:tcPr>
            <w:tcW w:w="14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3B344D" w:rsidRDefault="003B344D" w:rsidP="005E3DED">
            <w:pPr>
              <w:rPr>
                <w:rFonts w:ascii="Times New Roman" w:eastAsia="Segoe UI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b/>
                <w:bCs/>
                <w:sz w:val="20"/>
                <w:szCs w:val="20"/>
                <w:lang w:eastAsia="zh-CN"/>
              </w:rPr>
              <w:t>Number of patients/n</w:t>
            </w:r>
          </w:p>
        </w:tc>
        <w:tc>
          <w:tcPr>
            <w:tcW w:w="27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3B344D" w:rsidRDefault="003B344D" w:rsidP="005E3DED">
            <w:pPr>
              <w:rPr>
                <w:rFonts w:ascii="Times New Roman" w:eastAsia="Segoe UI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b/>
                <w:bCs/>
                <w:sz w:val="20"/>
                <w:szCs w:val="20"/>
                <w:lang w:eastAsia="zh-CN"/>
              </w:rPr>
              <w:t>Further decompensation events/n(%)</w:t>
            </w:r>
          </w:p>
        </w:tc>
      </w:tr>
      <w:tr w:rsidR="003B344D" w:rsidTr="005E3DED">
        <w:trPr>
          <w:trHeight w:val="675"/>
        </w:trPr>
        <w:tc>
          <w:tcPr>
            <w:tcW w:w="2113" w:type="dxa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B344D" w:rsidRDefault="003B344D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Hepatitis B virus</w:t>
            </w:r>
          </w:p>
        </w:tc>
        <w:tc>
          <w:tcPr>
            <w:tcW w:w="303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B344D" w:rsidRDefault="003B344D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Antiviral therapy</w:t>
            </w:r>
          </w:p>
        </w:tc>
        <w:tc>
          <w:tcPr>
            <w:tcW w:w="1447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3B344D" w:rsidRDefault="003B344D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38</w:t>
            </w:r>
          </w:p>
        </w:tc>
        <w:tc>
          <w:tcPr>
            <w:tcW w:w="2790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3B344D" w:rsidRDefault="003B344D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15 (39.47)</w:t>
            </w:r>
          </w:p>
        </w:tc>
      </w:tr>
      <w:tr w:rsidR="003B344D" w:rsidTr="005E3DED">
        <w:trPr>
          <w:trHeight w:val="337"/>
        </w:trPr>
        <w:tc>
          <w:tcPr>
            <w:tcW w:w="211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B344D" w:rsidRDefault="003B344D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B344D" w:rsidRDefault="003B344D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Untreated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B344D" w:rsidRDefault="003B344D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B344D" w:rsidRDefault="003B344D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2 (33.33)</w:t>
            </w:r>
          </w:p>
        </w:tc>
      </w:tr>
      <w:tr w:rsidR="003B344D" w:rsidTr="005E3DED">
        <w:trPr>
          <w:trHeight w:val="270"/>
        </w:trPr>
        <w:tc>
          <w:tcPr>
            <w:tcW w:w="2113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B344D" w:rsidRDefault="003B344D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Hepatitis C virus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B344D" w:rsidRDefault="003B344D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Antiviral therapy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B344D" w:rsidRDefault="003B344D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B344D" w:rsidRDefault="003B344D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3 (42.86)</w:t>
            </w:r>
          </w:p>
        </w:tc>
      </w:tr>
      <w:tr w:rsidR="003B344D" w:rsidTr="005E3DED">
        <w:trPr>
          <w:trHeight w:val="270"/>
        </w:trPr>
        <w:tc>
          <w:tcPr>
            <w:tcW w:w="2113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B344D" w:rsidRDefault="003B344D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B344D" w:rsidRDefault="003B344D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Untreated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B344D" w:rsidRDefault="003B344D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B344D" w:rsidRDefault="003B344D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0 (0.00)</w:t>
            </w:r>
          </w:p>
        </w:tc>
      </w:tr>
      <w:tr w:rsidR="003B344D" w:rsidTr="005E3DED">
        <w:trPr>
          <w:trHeight w:val="270"/>
        </w:trPr>
        <w:tc>
          <w:tcPr>
            <w:tcW w:w="2113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B344D" w:rsidRDefault="003B344D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Alcohol-associated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B344D" w:rsidRDefault="003B344D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Abstinence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B344D" w:rsidRDefault="003B344D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B344D" w:rsidRDefault="003B344D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5 (25.00)</w:t>
            </w:r>
          </w:p>
        </w:tc>
      </w:tr>
      <w:tr w:rsidR="003B344D" w:rsidTr="005E3DED">
        <w:trPr>
          <w:trHeight w:val="270"/>
        </w:trPr>
        <w:tc>
          <w:tcPr>
            <w:tcW w:w="2113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B344D" w:rsidRDefault="003B344D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B344D" w:rsidRDefault="003B344D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Active drinking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B344D" w:rsidRDefault="003B344D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B344D" w:rsidRDefault="003B344D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1 (25.00)</w:t>
            </w:r>
          </w:p>
        </w:tc>
      </w:tr>
      <w:tr w:rsidR="003B344D" w:rsidTr="005E3DED">
        <w:trPr>
          <w:trHeight w:val="270"/>
        </w:trPr>
        <w:tc>
          <w:tcPr>
            <w:tcW w:w="2113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B344D" w:rsidRDefault="003B344D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B344D" w:rsidRDefault="003B344D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Undetermined status</w:t>
            </w:r>
            <w:r>
              <w:rPr>
                <w:rFonts w:ascii="Times New Roman" w:eastAsia="Segoe UI" w:hAnsi="Times New Roman" w:cs="Times New Roman" w:hint="eastAsia"/>
                <w:sz w:val="20"/>
                <w:szCs w:val="20"/>
                <w:vertAlign w:val="superscript"/>
                <w:lang w:eastAsia="zh-CN"/>
              </w:rPr>
              <w:t xml:space="preserve">a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B344D" w:rsidRDefault="003B344D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B344D" w:rsidRDefault="003B344D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4 (33.33)</w:t>
            </w:r>
          </w:p>
        </w:tc>
      </w:tr>
      <w:tr w:rsidR="003B344D" w:rsidTr="005E3DED">
        <w:trPr>
          <w:trHeight w:val="270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B344D" w:rsidRDefault="003B344D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AIH/PBC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B344D" w:rsidRDefault="003B344D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Guideline-directed therapy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B344D" w:rsidRDefault="003B344D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31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B344D" w:rsidRDefault="003B344D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8 (25.81)</w:t>
            </w:r>
          </w:p>
        </w:tc>
      </w:tr>
      <w:tr w:rsidR="003B344D" w:rsidTr="005E3DED">
        <w:trPr>
          <w:trHeight w:val="285"/>
        </w:trPr>
        <w:tc>
          <w:tcPr>
            <w:tcW w:w="2113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  <w:noWrap/>
            <w:vAlign w:val="center"/>
          </w:tcPr>
          <w:p w:rsidR="003B344D" w:rsidRDefault="003B344D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Other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  <w:noWrap/>
            <w:vAlign w:val="center"/>
          </w:tcPr>
          <w:p w:rsidR="003B344D" w:rsidRDefault="003B344D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No etiology-specific therapy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  <w:noWrap/>
            <w:vAlign w:val="center"/>
          </w:tcPr>
          <w:p w:rsidR="003B344D" w:rsidRDefault="003B344D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  <w:noWrap/>
            <w:vAlign w:val="center"/>
          </w:tcPr>
          <w:p w:rsidR="003B344D" w:rsidRDefault="003B344D" w:rsidP="005E3DED">
            <w:pP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egoe UI" w:hAnsi="Times New Roman" w:cs="Times New Roman"/>
                <w:sz w:val="20"/>
                <w:szCs w:val="20"/>
                <w:lang w:eastAsia="zh-CN"/>
              </w:rPr>
              <w:t>14 (43.75)</w:t>
            </w:r>
          </w:p>
        </w:tc>
      </w:tr>
    </w:tbl>
    <w:p w:rsidR="003B344D" w:rsidRDefault="003B344D" w:rsidP="003B34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left="100" w:right="100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Segoe UI" w:hAnsi="Times New Roman" w:cs="Times New Roman" w:hint="eastAsia"/>
          <w:sz w:val="18"/>
          <w:szCs w:val="18"/>
          <w:vertAlign w:val="superscript"/>
          <w:lang w:eastAsia="zh-CN"/>
        </w:rPr>
        <w:t xml:space="preserve">a </w:t>
      </w:r>
      <w:r>
        <w:rPr>
          <w:rFonts w:ascii="Times New Roman" w:hAnsi="Times New Roman" w:cs="Times New Roman"/>
          <w:sz w:val="18"/>
          <w:szCs w:val="18"/>
          <w:lang w:eastAsia="zh-CN"/>
        </w:rPr>
        <w:t xml:space="preserve">Undetermined status: Abstinence status </w:t>
      </w:r>
      <w:r>
        <w:rPr>
          <w:rFonts w:ascii="Times New Roman" w:hAnsi="Times New Roman" w:cs="Times New Roman" w:hint="eastAsia"/>
          <w:sz w:val="18"/>
          <w:szCs w:val="18"/>
          <w:lang w:eastAsia="zh-CN"/>
        </w:rPr>
        <w:t>could not be confirmed through medical record review and structured telephone follow-up.</w:t>
      </w:r>
    </w:p>
    <w:p w:rsidR="003B344D" w:rsidRDefault="003B344D" w:rsidP="003B34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left="100" w:right="100"/>
        <w:rPr>
          <w:rFonts w:ascii="Times New Roman" w:eastAsia="宋体" w:hAnsi="Times New Roman" w:cs="Times New Roman"/>
          <w:sz w:val="18"/>
          <w:szCs w:val="18"/>
          <w:lang w:eastAsia="zh-CN"/>
        </w:rPr>
      </w:pPr>
      <w:r>
        <w:rPr>
          <w:rFonts w:ascii="Times New Roman" w:hAnsi="Times New Roman" w:cs="Times New Roman"/>
          <w:sz w:val="18"/>
          <w:szCs w:val="18"/>
        </w:rPr>
        <w:t>AIH:Autoimmune hepatitis; PBC:Primary biliary cholangitis</w:t>
      </w:r>
      <w:r>
        <w:rPr>
          <w:rFonts w:ascii="Times New Roman" w:eastAsia="宋体" w:hAnsi="Times New Roman" w:cs="Times New Roman" w:hint="eastAsia"/>
          <w:sz w:val="18"/>
          <w:szCs w:val="18"/>
          <w:lang w:eastAsia="zh-CN"/>
        </w:rPr>
        <w:t>.</w:t>
      </w:r>
    </w:p>
    <w:p w:rsidR="003120DC" w:rsidRDefault="003120DC"/>
    <w:sectPr w:rsidR="003120D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defaultTabStop w:val="720"/>
  <w:characterSpacingControl w:val="doNotCompress"/>
  <w:compat>
    <w:useFELayout/>
  </w:compat>
  <w:rsids>
    <w:rsidRoot w:val="003B344D"/>
    <w:rsid w:val="003120DC"/>
    <w:rsid w:val="003B3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2025-08-28T01:43:00Z</dcterms:created>
  <dcterms:modified xsi:type="dcterms:W3CDTF">2025-08-28T01:43:00Z</dcterms:modified>
</cp:coreProperties>
</file>