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06" w:rsidRDefault="00913F06" w:rsidP="00913F06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02"/>
        <w:rPr>
          <w:rFonts w:ascii="Times New Roman" w:eastAsia="Segoe UI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 xml:space="preserve">8 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Baseline hepatic/splenic volumetric parameters and PPG reduction across cirrhosis etiologies</w:t>
      </w:r>
      <w:r>
        <w:rPr>
          <w:rFonts w:ascii="Times New Roman" w:eastAsia="Segoe UI" w:hAnsi="Times New Roman" w:cs="Times New Roman"/>
          <w:szCs w:val="21"/>
          <w:lang/>
        </w:rPr>
        <w:t>.</w:t>
      </w:r>
    </w:p>
    <w:tbl>
      <w:tblPr>
        <w:tblpPr w:leftFromText="180" w:rightFromText="180" w:vertAnchor="text" w:horzAnchor="page" w:tblpX="796" w:tblpY="89"/>
        <w:tblOverlap w:val="never"/>
        <w:tblW w:w="10553" w:type="dxa"/>
        <w:tblLayout w:type="fixed"/>
        <w:tblLook w:val="04A0"/>
      </w:tblPr>
      <w:tblGrid>
        <w:gridCol w:w="2142"/>
        <w:gridCol w:w="956"/>
        <w:gridCol w:w="1037"/>
        <w:gridCol w:w="1264"/>
        <w:gridCol w:w="1029"/>
        <w:gridCol w:w="1072"/>
        <w:gridCol w:w="1273"/>
        <w:gridCol w:w="984"/>
        <w:gridCol w:w="796"/>
      </w:tblGrid>
      <w:tr w:rsidR="00913F06" w:rsidTr="005E3DED">
        <w:trPr>
          <w:trHeight w:val="938"/>
        </w:trPr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Total </w:t>
            </w:r>
          </w:p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(n = 152)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Viral hepatitis (n = 53)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Alcohol-associated (n = 36)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AIH </w:t>
            </w:r>
          </w:p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(n = 14)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PBC </w:t>
            </w:r>
          </w:p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(n = 14)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AIH-PBC Overlap Variant (n = 3)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Other (n = 32)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</w:p>
        </w:tc>
      </w:tr>
      <w:tr w:rsidR="00913F06" w:rsidTr="005E3DED">
        <w:trPr>
          <w:trHeight w:val="308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Reduction of PPG by TIPS/ [(%), M (Q₁, Q₃)]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62.33 (54.09, 72.49)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62.50 (55.56,71.43)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55.61 (48.28,70.42)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62.03 (57.25,72.86)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70.77 (59.66,76.92)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60.00 (56.06,72.31)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63.76 (56.16,70.94)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0.263</w:t>
            </w:r>
          </w:p>
        </w:tc>
      </w:tr>
      <w:tr w:rsidR="00913F06" w:rsidTr="005E3DED">
        <w:trPr>
          <w:trHeight w:val="34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Right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epatic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obe </w:t>
            </w: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olume/ [100 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,M (Q₁, Q₃)]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5.23 (4.18, 6.80)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4.79 (3.94,5.95)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7.09 (5.71,9.77)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4.56 (4.25,5.26)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4.80 (3.81,5.47)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5.19 (4.42,6.49)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4.91 (3.51,5.43)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&lt;0.001</w:t>
            </w:r>
          </w:p>
        </w:tc>
      </w:tr>
      <w:tr w:rsidR="00913F06" w:rsidTr="005E3DED">
        <w:trPr>
          <w:trHeight w:val="34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Spleen Volume/ [100 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,M (Q₁, Q₃)]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8.26 (5.82, 10.56)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9.55 (7.25,12.39)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8.01 (6.20,10.16)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7.96 (6.08,8.29)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7.17 (4.82,8.97)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8.29 (6.52,8.80)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7.72 (5.39,10.58)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0.117</w:t>
            </w:r>
          </w:p>
        </w:tc>
      </w:tr>
      <w:tr w:rsidR="00913F06" w:rsidTr="005E3DED">
        <w:trPr>
          <w:trHeight w:val="322"/>
        </w:trPr>
        <w:tc>
          <w:tcPr>
            <w:tcW w:w="214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Further decompensation events/n(%)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52 (34.21)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 (37.74)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 (27.78)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(28.57)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 (28.57)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 (43.75)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913F06" w:rsidRDefault="00913F06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0.608</w:t>
            </w:r>
          </w:p>
        </w:tc>
      </w:tr>
    </w:tbl>
    <w:p w:rsidR="00913F06" w:rsidRDefault="00913F06" w:rsidP="00913F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Data are presented as median (Q₁, Q₃) for non-normally distributed variables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zh-CN"/>
        </w:rPr>
        <w:t>and n (%) for categorical variables. Q₁: 1st Quartile, Q₃: 3st Quartile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 PPG: portal pressure gradient; TIPS: transjugular intrahepatic portosystemic shunt.AIH:Autoimmune hepatitis; PBC:Primary biliary cholangitis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</w:p>
    <w:p w:rsidR="0018719E" w:rsidRDefault="0018719E"/>
    <w:sectPr w:rsidR="001871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913F06"/>
    <w:rsid w:val="0018719E"/>
    <w:rsid w:val="0091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2025-08-28T01:43:00Z</dcterms:created>
  <dcterms:modified xsi:type="dcterms:W3CDTF">2025-08-28T01:43:00Z</dcterms:modified>
</cp:coreProperties>
</file>