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9D" w:rsidRDefault="00CF0B9D" w:rsidP="00CF0B9D">
      <w:pPr>
        <w:textAlignment w:val="center"/>
        <w:rPr>
          <w:rFonts w:ascii="Times New Roman" w:eastAsia="宋体" w:hAnsi="Times New Roman" w:cs="Times New Roman"/>
          <w:sz w:val="21"/>
          <w:szCs w:val="21"/>
          <w:lang w:eastAsia="zh-CN"/>
        </w:rPr>
      </w:pPr>
      <w:r>
        <w:rPr>
          <w:rFonts w:ascii="Times New Roman" w:eastAsia="宋体" w:hAnsi="Times New Roman" w:cs="Times New Roman"/>
          <w:b/>
          <w:bCs/>
          <w:szCs w:val="21"/>
          <w:lang/>
        </w:rPr>
        <w:t xml:space="preserve">Supplementary Table 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  <w:lang w:eastAsia="zh-CN"/>
        </w:rPr>
        <w:t>2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Test-retest reliability and volumetric variation of hepatic/splenic measurements in decompensated cirrhosis patients (n=10)</w:t>
      </w:r>
    </w:p>
    <w:tbl>
      <w:tblPr>
        <w:tblW w:w="10990" w:type="dxa"/>
        <w:tblInd w:w="-1125" w:type="dxa"/>
        <w:tblLayout w:type="fixed"/>
        <w:tblLook w:val="04A0"/>
      </w:tblPr>
      <w:tblGrid>
        <w:gridCol w:w="2009"/>
        <w:gridCol w:w="1659"/>
        <w:gridCol w:w="1341"/>
        <w:gridCol w:w="1041"/>
        <w:gridCol w:w="1556"/>
        <w:gridCol w:w="1434"/>
        <w:gridCol w:w="1950"/>
      </w:tblGrid>
      <w:tr w:rsidR="00CF0B9D" w:rsidTr="005E3DED">
        <w:trPr>
          <w:trHeight w:val="270"/>
        </w:trPr>
        <w:tc>
          <w:tcPr>
            <w:tcW w:w="2009" w:type="dxa"/>
            <w:vMerge w:val="restart"/>
            <w:tcBorders>
              <w:top w:val="single" w:sz="8" w:space="0" w:color="000000" w:themeColor="text1"/>
              <w:left w:val="nil"/>
              <w:bottom w:val="single" w:sz="4" w:space="0" w:color="auto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1659" w:type="dxa"/>
            <w:vMerge w:val="restart"/>
            <w:tcBorders>
              <w:top w:val="single" w:sz="8" w:space="0" w:color="000000" w:themeColor="text1"/>
              <w:bottom w:val="single" w:sz="4" w:space="0" w:color="auto"/>
            </w:tcBorders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Earlier Scan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br/>
              <w:t>(×100 cm³)</w:t>
            </w:r>
          </w:p>
        </w:tc>
        <w:tc>
          <w:tcPr>
            <w:tcW w:w="1341" w:type="dxa"/>
            <w:vMerge w:val="restart"/>
            <w:tcBorders>
              <w:top w:val="single" w:sz="8" w:space="0" w:color="000000" w:themeColor="text1"/>
              <w:bottom w:val="single" w:sz="4" w:space="0" w:color="auto"/>
            </w:tcBorders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Later Scan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br/>
              <w:t>(×100 cm³)</w:t>
            </w:r>
          </w:p>
        </w:tc>
        <w:tc>
          <w:tcPr>
            <w:tcW w:w="1041" w:type="dxa"/>
            <w:vMerge w:val="restart"/>
            <w:tcBorders>
              <w:top w:val="single" w:sz="8" w:space="0" w:color="000000" w:themeColor="text1"/>
            </w:tcBorders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1556" w:type="dxa"/>
            <w:vMerge w:val="restart"/>
            <w:tcBorders>
              <w:top w:val="single" w:sz="8" w:space="0" w:color="000000" w:themeColor="text1"/>
              <w:bottom w:val="single" w:sz="4" w:space="0" w:color="auto"/>
            </w:tcBorders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ICC(2,1)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br/>
              <w:t>(95% CI)</w:t>
            </w:r>
          </w:p>
        </w:tc>
        <w:tc>
          <w:tcPr>
            <w:tcW w:w="3384" w:type="dxa"/>
            <w:gridSpan w:val="2"/>
            <w:tcBorders>
              <w:top w:val="single" w:sz="8" w:space="0" w:color="000000" w:themeColor="text1"/>
              <w:bottom w:val="single" w:sz="8" w:space="0" w:color="000000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Bland-Altman Analysis</w:t>
            </w:r>
          </w:p>
        </w:tc>
      </w:tr>
      <w:tr w:rsidR="00CF0B9D" w:rsidTr="005E3DED">
        <w:trPr>
          <w:trHeight w:val="270"/>
        </w:trPr>
        <w:tc>
          <w:tcPr>
            <w:tcW w:w="2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Mean Difference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95% LoA</w:t>
            </w:r>
          </w:p>
        </w:tc>
      </w:tr>
      <w:tr w:rsidR="00CF0B9D" w:rsidTr="005E3DED">
        <w:trPr>
          <w:trHeight w:val="270"/>
        </w:trPr>
        <w:tc>
          <w:tcPr>
            <w:tcW w:w="2009" w:type="dxa"/>
            <w:tcBorders>
              <w:top w:val="single" w:sz="8" w:space="0" w:color="000000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Left hepatic lobe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volume</w:t>
            </w:r>
          </w:p>
        </w:tc>
        <w:tc>
          <w:tcPr>
            <w:tcW w:w="1659" w:type="dxa"/>
            <w:tcBorders>
              <w:top w:val="single" w:sz="8" w:space="0" w:color="000000"/>
            </w:tcBorders>
            <w:noWrap/>
          </w:tcPr>
          <w:p w:rsidR="00CF0B9D" w:rsidRDefault="00CF0B9D" w:rsidP="005E3DED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4.52 (3.46, 6.08)</w:t>
            </w:r>
          </w:p>
        </w:tc>
        <w:tc>
          <w:tcPr>
            <w:tcW w:w="1341" w:type="dxa"/>
            <w:tcBorders>
              <w:top w:val="single" w:sz="8" w:space="0" w:color="000000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4.24 (3.52, 6.46)</w:t>
            </w:r>
          </w:p>
        </w:tc>
        <w:tc>
          <w:tcPr>
            <w:tcW w:w="1041" w:type="dxa"/>
            <w:tcBorders>
              <w:top w:val="single" w:sz="8" w:space="0" w:color="000000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0.853</w:t>
            </w:r>
          </w:p>
        </w:tc>
        <w:tc>
          <w:tcPr>
            <w:tcW w:w="1556" w:type="dxa"/>
            <w:tcBorders>
              <w:top w:val="single" w:sz="8" w:space="0" w:color="000000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0.989 (0.958, 0.997)</w:t>
            </w:r>
          </w:p>
        </w:tc>
        <w:tc>
          <w:tcPr>
            <w:tcW w:w="1434" w:type="dxa"/>
            <w:tcBorders>
              <w:top w:val="single" w:sz="8" w:space="0" w:color="000000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950" w:type="dxa"/>
            <w:tcBorders>
              <w:top w:val="single" w:sz="8" w:space="0" w:color="000000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(-0.794, 0.794)</w:t>
            </w:r>
          </w:p>
        </w:tc>
      </w:tr>
      <w:tr w:rsidR="00CF0B9D" w:rsidTr="005E3DED">
        <w:trPr>
          <w:trHeight w:val="270"/>
        </w:trPr>
        <w:tc>
          <w:tcPr>
            <w:tcW w:w="2009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Right hepatic lobe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volume</w:t>
            </w:r>
          </w:p>
        </w:tc>
        <w:tc>
          <w:tcPr>
            <w:tcW w:w="1659" w:type="dxa"/>
            <w:noWrap/>
          </w:tcPr>
          <w:p w:rsidR="00CF0B9D" w:rsidRDefault="00CF0B9D" w:rsidP="005E3DED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5.53 (4.67, 7.11)</w:t>
            </w:r>
          </w:p>
        </w:tc>
        <w:tc>
          <w:tcPr>
            <w:tcW w:w="1341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5.98 (4.82, 6.62)</w:t>
            </w:r>
          </w:p>
        </w:tc>
        <w:tc>
          <w:tcPr>
            <w:tcW w:w="1041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0.853</w:t>
            </w:r>
          </w:p>
        </w:tc>
        <w:tc>
          <w:tcPr>
            <w:tcW w:w="1556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0.952 (0.821, 0.988)</w:t>
            </w:r>
          </w:p>
        </w:tc>
        <w:tc>
          <w:tcPr>
            <w:tcW w:w="1434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0.099</w:t>
            </w:r>
          </w:p>
        </w:tc>
        <w:tc>
          <w:tcPr>
            <w:tcW w:w="1950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(-1.395, 1.593)</w:t>
            </w:r>
          </w:p>
        </w:tc>
      </w:tr>
      <w:tr w:rsidR="00CF0B9D" w:rsidTr="005E3DED">
        <w:trPr>
          <w:trHeight w:val="270"/>
        </w:trPr>
        <w:tc>
          <w:tcPr>
            <w:tcW w:w="2009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Caudate lobe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volume</w:t>
            </w:r>
          </w:p>
        </w:tc>
        <w:tc>
          <w:tcPr>
            <w:tcW w:w="1659" w:type="dxa"/>
            <w:noWrap/>
          </w:tcPr>
          <w:p w:rsidR="00CF0B9D" w:rsidRDefault="00CF0B9D" w:rsidP="005E3DED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0.24 (0.16, 0.30)</w:t>
            </w:r>
          </w:p>
        </w:tc>
        <w:tc>
          <w:tcPr>
            <w:tcW w:w="1341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0.23 (0.20, 0.30)</w:t>
            </w:r>
          </w:p>
        </w:tc>
        <w:tc>
          <w:tcPr>
            <w:tcW w:w="1041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0.912</w:t>
            </w:r>
          </w:p>
        </w:tc>
        <w:tc>
          <w:tcPr>
            <w:tcW w:w="1556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0.975 (0.905, 0.994)</w:t>
            </w:r>
          </w:p>
        </w:tc>
        <w:tc>
          <w:tcPr>
            <w:tcW w:w="1434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-0.001</w:t>
            </w:r>
          </w:p>
        </w:tc>
        <w:tc>
          <w:tcPr>
            <w:tcW w:w="1950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(-0.079, 0.077)</w:t>
            </w:r>
          </w:p>
        </w:tc>
      </w:tr>
      <w:tr w:rsidR="00CF0B9D" w:rsidTr="005E3DED">
        <w:trPr>
          <w:trHeight w:val="270"/>
        </w:trPr>
        <w:tc>
          <w:tcPr>
            <w:tcW w:w="2009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Total liver volume</w:t>
            </w:r>
          </w:p>
        </w:tc>
        <w:tc>
          <w:tcPr>
            <w:tcW w:w="1659" w:type="dxa"/>
            <w:noWrap/>
          </w:tcPr>
          <w:p w:rsidR="00CF0B9D" w:rsidRDefault="00CF0B9D" w:rsidP="005E3DED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10.88 (9.16, 13.30)</w:t>
            </w:r>
          </w:p>
        </w:tc>
        <w:tc>
          <w:tcPr>
            <w:tcW w:w="1341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11.12 (9.52, 12.95)</w:t>
            </w:r>
          </w:p>
        </w:tc>
        <w:tc>
          <w:tcPr>
            <w:tcW w:w="1041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0.971</w:t>
            </w:r>
          </w:p>
        </w:tc>
        <w:tc>
          <w:tcPr>
            <w:tcW w:w="1556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0.970 (0.886, 0.993)</w:t>
            </w:r>
          </w:p>
        </w:tc>
        <w:tc>
          <w:tcPr>
            <w:tcW w:w="1434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0.094</w:t>
            </w:r>
          </w:p>
        </w:tc>
        <w:tc>
          <w:tcPr>
            <w:tcW w:w="1950" w:type="dxa"/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(-2.115, 2.303)</w:t>
            </w:r>
          </w:p>
        </w:tc>
      </w:tr>
      <w:tr w:rsidR="00CF0B9D" w:rsidTr="005E3DED">
        <w:trPr>
          <w:trHeight w:val="285"/>
        </w:trPr>
        <w:tc>
          <w:tcPr>
            <w:tcW w:w="2009" w:type="dxa"/>
            <w:tcBorders>
              <w:bottom w:val="single" w:sz="12" w:space="0" w:color="808080" w:themeColor="background1" w:themeShade="80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Spleen volume</w:t>
            </w:r>
          </w:p>
        </w:tc>
        <w:tc>
          <w:tcPr>
            <w:tcW w:w="1659" w:type="dxa"/>
            <w:tcBorders>
              <w:bottom w:val="single" w:sz="12" w:space="0" w:color="808080" w:themeColor="background1" w:themeShade="80"/>
            </w:tcBorders>
            <w:noWrap/>
          </w:tcPr>
          <w:p w:rsidR="00CF0B9D" w:rsidRDefault="00CF0B9D" w:rsidP="005E3DED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9.98 ± 5.74</w:t>
            </w:r>
          </w:p>
        </w:tc>
        <w:tc>
          <w:tcPr>
            <w:tcW w:w="1341" w:type="dxa"/>
            <w:tcBorders>
              <w:bottom w:val="single" w:sz="12" w:space="0" w:color="808080" w:themeColor="background1" w:themeShade="80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10.97 ± 6.</w:t>
            </w: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1041" w:type="dxa"/>
            <w:tcBorders>
              <w:bottom w:val="single" w:sz="12" w:space="0" w:color="808080" w:themeColor="background1" w:themeShade="80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0.772</w:t>
            </w:r>
          </w:p>
        </w:tc>
        <w:tc>
          <w:tcPr>
            <w:tcW w:w="1556" w:type="dxa"/>
            <w:tcBorders>
              <w:bottom w:val="single" w:sz="12" w:space="0" w:color="808080" w:themeColor="background1" w:themeShade="80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0.982 (0.930, 0.996)</w:t>
            </w:r>
          </w:p>
        </w:tc>
        <w:tc>
          <w:tcPr>
            <w:tcW w:w="1434" w:type="dxa"/>
            <w:tcBorders>
              <w:bottom w:val="single" w:sz="12" w:space="0" w:color="808080" w:themeColor="background1" w:themeShade="80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0.810</w:t>
            </w:r>
          </w:p>
        </w:tc>
        <w:tc>
          <w:tcPr>
            <w:tcW w:w="1950" w:type="dxa"/>
            <w:tcBorders>
              <w:bottom w:val="single" w:sz="12" w:space="0" w:color="808080" w:themeColor="background1" w:themeShade="80"/>
            </w:tcBorders>
            <w:noWrap/>
          </w:tcPr>
          <w:p w:rsidR="00CF0B9D" w:rsidRDefault="00CF0B9D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(-1.001, 2.621)</w:t>
            </w:r>
          </w:p>
        </w:tc>
      </w:tr>
    </w:tbl>
    <w:p w:rsidR="00CF0B9D" w:rsidRDefault="00CF0B9D" w:rsidP="00CF0B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</w:rPr>
        <w:t>Data are presented as mean ± standard deviation (SD) for normally distributed variables and median (Q₁, Q₃) for non-normally distributed variables.</w:t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 ICC(2,1): intraclass correlation coefficient (two-way random-effects, absolute agreement). LoA: limits of agreement. All scans performed within 3 months before TIPS creation.</w:t>
      </w:r>
    </w:p>
    <w:p w:rsidR="00AC7E9D" w:rsidRDefault="00AC7E9D"/>
    <w:sectPr w:rsidR="00AC7E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CF0B9D"/>
    <w:rsid w:val="00AC7E9D"/>
    <w:rsid w:val="00CF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2025-08-28T01:41:00Z</dcterms:created>
  <dcterms:modified xsi:type="dcterms:W3CDTF">2025-08-28T01:41:00Z</dcterms:modified>
</cp:coreProperties>
</file>