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78" w:rsidRPr="000D2A0C" w:rsidRDefault="00EE1378" w:rsidP="000D2A0C">
      <w:pPr>
        <w:spacing w:after="0" w:line="480" w:lineRule="auto"/>
        <w:rPr>
          <w:rFonts w:ascii="Times New Roman" w:hAnsi="Times New Roman" w:cs="Times New Roman"/>
          <w:b/>
          <w:bCs/>
          <w:color w:val="00B0F0"/>
          <w:sz w:val="24"/>
          <w:szCs w:val="24"/>
          <w:lang w:val="en-US" w:eastAsia="zh-CN"/>
        </w:rPr>
      </w:pPr>
      <w:r w:rsidRPr="000D2A0C">
        <w:rPr>
          <w:rFonts w:ascii="Times New Roman" w:hAnsi="Times New Roman" w:cs="Times New Roman"/>
          <w:b/>
          <w:bCs/>
          <w:color w:val="00B0F0"/>
          <w:sz w:val="24"/>
          <w:szCs w:val="24"/>
          <w:lang w:val="en-US"/>
        </w:rPr>
        <w:t xml:space="preserve">Supplementary </w:t>
      </w:r>
      <w:r w:rsidRPr="000D2A0C">
        <w:rPr>
          <w:rFonts w:ascii="Times New Roman" w:hAnsi="Times New Roman" w:cs="Times New Roman" w:hint="eastAsia"/>
          <w:b/>
          <w:bCs/>
          <w:color w:val="00B0F0"/>
          <w:sz w:val="24"/>
          <w:szCs w:val="24"/>
          <w:lang w:val="en-US" w:eastAsia="zh-CN"/>
        </w:rPr>
        <w:t>Materials</w:t>
      </w:r>
    </w:p>
    <w:p w:rsidR="00EE1378" w:rsidRPr="000D2A0C" w:rsidRDefault="00EE1378" w:rsidP="000D2A0C">
      <w:pPr>
        <w:spacing w:after="0" w:line="480" w:lineRule="auto"/>
        <w:rPr>
          <w:rFonts w:ascii="Times New Roman" w:hAnsi="Times New Roman" w:cs="Times New Roman"/>
          <w:b/>
          <w:bCs/>
          <w:i/>
          <w:iCs/>
          <w:sz w:val="24"/>
          <w:szCs w:val="24"/>
          <w:lang w:val="en-US"/>
        </w:rPr>
      </w:pPr>
      <w:r w:rsidRPr="000D2A0C">
        <w:rPr>
          <w:rFonts w:ascii="Times New Roman" w:hAnsi="Times New Roman" w:cs="Times New Roman"/>
          <w:b/>
          <w:bCs/>
          <w:i/>
          <w:iCs/>
          <w:sz w:val="24"/>
          <w:szCs w:val="24"/>
          <w:lang w:val="en-US"/>
        </w:rPr>
        <w:t>TEG analysis</w:t>
      </w:r>
    </w:p>
    <w:p w:rsidR="00EE1378" w:rsidRPr="000D2A0C" w:rsidRDefault="00EE1378" w:rsidP="000D2A0C">
      <w:pPr>
        <w:spacing w:after="0" w:line="480" w:lineRule="auto"/>
        <w:rPr>
          <w:rFonts w:ascii="Times New Roman" w:hAnsi="Times New Roman" w:cs="Times New Roman"/>
          <w:sz w:val="24"/>
          <w:szCs w:val="24"/>
          <w:shd w:val="clear" w:color="auto" w:fill="FFFFFF"/>
          <w:vertAlign w:val="superscript"/>
          <w:lang w:val="en-US"/>
        </w:rPr>
      </w:pPr>
      <w:r w:rsidRPr="000D2A0C">
        <w:rPr>
          <w:rFonts w:ascii="Times New Roman" w:hAnsi="Times New Roman" w:cs="Times New Roman"/>
          <w:sz w:val="24"/>
          <w:szCs w:val="24"/>
          <w:shd w:val="clear" w:color="auto" w:fill="FFFFFF"/>
          <w:lang w:val="en-US"/>
        </w:rPr>
        <w:t>In the TEG trace, R (4-8 m) is the distance from the start of the trace to the point where the lines have diverged 1mm, which indicates the intrinsic pathway activity.</w:t>
      </w:r>
      <w:r w:rsidR="00B96CB9" w:rsidRPr="00B96CB9">
        <w:rPr>
          <w:rFonts w:ascii="Times New Roman" w:hAnsi="Times New Roman" w:cs="Times New Roman"/>
          <w:sz w:val="24"/>
          <w:szCs w:val="24"/>
          <w:shd w:val="clear" w:color="auto" w:fill="FFFFFF"/>
          <w:vertAlign w:val="superscript"/>
          <w:lang w:val="en-US"/>
        </w:rPr>
        <w:t>s</w:t>
      </w:r>
      <w:r w:rsidRPr="000D2A0C">
        <w:rPr>
          <w:rFonts w:ascii="Times New Roman" w:hAnsi="Times New Roman" w:cs="Times New Roman"/>
          <w:sz w:val="24"/>
          <w:szCs w:val="24"/>
          <w:vertAlign w:val="superscript"/>
          <w:lang w:val="en-US"/>
        </w:rPr>
        <w:t>1</w:t>
      </w:r>
      <w:r w:rsidRPr="000D2A0C">
        <w:rPr>
          <w:rFonts w:ascii="Times New Roman" w:hAnsi="Times New Roman" w:cs="Times New Roman"/>
          <w:sz w:val="24"/>
          <w:szCs w:val="24"/>
          <w:shd w:val="clear" w:color="auto" w:fill="FFFFFF"/>
          <w:vertAlign w:val="superscript"/>
          <w:lang w:val="en-US"/>
        </w:rPr>
        <w:t>-</w:t>
      </w:r>
      <w:r w:rsidR="00B06D71">
        <w:rPr>
          <w:rFonts w:ascii="Times New Roman" w:hAnsi="Times New Roman" w:cs="Times New Roman"/>
          <w:sz w:val="24"/>
          <w:szCs w:val="24"/>
          <w:shd w:val="clear" w:color="auto" w:fill="FFFFFF"/>
          <w:vertAlign w:val="superscript"/>
          <w:lang w:val="en-US"/>
        </w:rPr>
        <w:t>3</w:t>
      </w:r>
      <w:r w:rsidRPr="000D2A0C">
        <w:rPr>
          <w:rFonts w:ascii="Times New Roman" w:hAnsi="Times New Roman" w:cs="Times New Roman"/>
          <w:sz w:val="24"/>
          <w:szCs w:val="24"/>
          <w:shd w:val="clear" w:color="auto" w:fill="FFFFFF"/>
          <w:vertAlign w:val="superscript"/>
          <w:lang w:val="en-US"/>
        </w:rPr>
        <w:t> </w:t>
      </w:r>
      <w:r w:rsidRPr="000D2A0C">
        <w:rPr>
          <w:rFonts w:ascii="Times New Roman" w:hAnsi="Times New Roman" w:cs="Times New Roman"/>
          <w:sz w:val="24"/>
          <w:szCs w:val="24"/>
          <w:shd w:val="clear" w:color="auto" w:fill="FFFFFF"/>
          <w:lang w:val="en-US"/>
        </w:rPr>
        <w:t>K (0-5 m) is the distance between the end of R and the point at which the distance between the two branches reaches 20 mm. The K (0-5 m) is a measurement of the rapidity of clot formation kinetics, while the combined R and K values reflect the coagulation time from its initiation to effective clot strength.</w:t>
      </w:r>
      <w:r w:rsidR="00892697" w:rsidRPr="009B33C0">
        <w:rPr>
          <w:rFonts w:ascii="Times New Roman" w:hAnsi="Times New Roman" w:cs="Times New Roman"/>
          <w:sz w:val="24"/>
          <w:szCs w:val="24"/>
          <w:shd w:val="clear" w:color="auto" w:fill="FFFFFF"/>
          <w:vertAlign w:val="superscript"/>
          <w:lang w:val="en-US"/>
        </w:rPr>
        <w:t>s</w:t>
      </w:r>
      <w:r w:rsidR="00892697">
        <w:rPr>
          <w:rFonts w:ascii="Times New Roman" w:hAnsi="Times New Roman" w:cs="Times New Roman"/>
          <w:sz w:val="24"/>
          <w:szCs w:val="24"/>
          <w:shd w:val="clear" w:color="auto" w:fill="FFFFFF"/>
          <w:vertAlign w:val="superscript"/>
          <w:lang w:val="en-US"/>
        </w:rPr>
        <w:t>4</w:t>
      </w:r>
      <w:r w:rsidR="00892697" w:rsidRPr="000D2A0C">
        <w:rPr>
          <w:rFonts w:ascii="Times New Roman" w:hAnsi="Times New Roman" w:cs="Times New Roman"/>
          <w:sz w:val="24"/>
          <w:szCs w:val="24"/>
          <w:shd w:val="clear" w:color="auto" w:fill="FFFFFF"/>
          <w:vertAlign w:val="superscript"/>
          <w:lang w:val="en-US"/>
        </w:rPr>
        <w:t> </w:t>
      </w:r>
      <w:r w:rsidRPr="000D2A0C">
        <w:rPr>
          <w:rFonts w:ascii="Times New Roman" w:hAnsi="Times New Roman" w:cs="Times New Roman"/>
          <w:sz w:val="24"/>
          <w:szCs w:val="24"/>
          <w:shd w:val="clear" w:color="auto" w:fill="FFFFFF"/>
          <w:lang w:val="en-US"/>
        </w:rPr>
        <w:t xml:space="preserve">MA (40-50 mm) is the maximal distance between the two diverging branches, reflecting final clot strength. The angle (α, </w:t>
      </w:r>
      <w:r w:rsidRPr="000D2A0C">
        <w:rPr>
          <w:rFonts w:ascii="Times New Roman" w:eastAsia="Times New Roman" w:hAnsi="Times New Roman" w:cs="Times New Roman"/>
          <w:sz w:val="24"/>
          <w:szCs w:val="24"/>
          <w:lang w:val="en-US" w:eastAsia="en-IN"/>
        </w:rPr>
        <w:t>47-74°</w:t>
      </w:r>
      <w:r w:rsidRPr="000D2A0C">
        <w:rPr>
          <w:rFonts w:ascii="Times New Roman" w:hAnsi="Times New Roman" w:cs="Times New Roman"/>
          <w:sz w:val="24"/>
          <w:szCs w:val="24"/>
          <w:shd w:val="clear" w:color="auto" w:fill="FFFFFF"/>
          <w:lang w:val="en-US"/>
        </w:rPr>
        <w:t xml:space="preserve">) is measured between the midline and the tangent to the curve drawn from the 1 mm-wide point. </w:t>
      </w:r>
      <w:bookmarkStart w:id="0" w:name="_Hlk525160936"/>
      <w:r w:rsidRPr="000D2A0C">
        <w:rPr>
          <w:rFonts w:ascii="Times New Roman" w:hAnsi="Times New Roman" w:cs="Times New Roman"/>
          <w:sz w:val="24"/>
          <w:szCs w:val="24"/>
          <w:shd w:val="clear" w:color="auto" w:fill="FFFFFF"/>
          <w:lang w:val="en-US"/>
        </w:rPr>
        <w:t>Fibrinolysis was measured as lysis at 30 and 60 m (0-3%).</w:t>
      </w:r>
      <w:r w:rsidR="00C53564" w:rsidRPr="009B33C0">
        <w:rPr>
          <w:rFonts w:ascii="Times New Roman" w:hAnsi="Times New Roman" w:cs="Times New Roman"/>
          <w:sz w:val="24"/>
          <w:szCs w:val="24"/>
          <w:shd w:val="clear" w:color="auto" w:fill="FFFFFF"/>
          <w:vertAlign w:val="superscript"/>
          <w:lang w:val="en-US"/>
        </w:rPr>
        <w:t>s</w:t>
      </w:r>
      <w:r w:rsidR="00C53564">
        <w:rPr>
          <w:rFonts w:ascii="Times New Roman" w:hAnsi="Times New Roman" w:cs="Times New Roman"/>
          <w:sz w:val="24"/>
          <w:szCs w:val="24"/>
          <w:shd w:val="clear" w:color="auto" w:fill="FFFFFF"/>
          <w:vertAlign w:val="superscript"/>
          <w:lang w:val="en-US" w:eastAsia="zh-CN"/>
        </w:rPr>
        <w:t>5</w:t>
      </w:r>
      <w:r w:rsidR="00C53564" w:rsidRPr="000D2A0C">
        <w:rPr>
          <w:rFonts w:ascii="Times New Roman" w:hAnsi="Times New Roman" w:cs="Times New Roman"/>
          <w:sz w:val="24"/>
          <w:szCs w:val="24"/>
          <w:lang w:val="en-US"/>
        </w:rPr>
        <w:t xml:space="preserve"> </w:t>
      </w:r>
      <w:r w:rsidRPr="000D2A0C">
        <w:rPr>
          <w:rFonts w:ascii="Times New Roman" w:hAnsi="Times New Roman" w:cs="Times New Roman"/>
          <w:sz w:val="24"/>
          <w:szCs w:val="24"/>
          <w:lang w:val="en-US"/>
        </w:rPr>
        <w:t>TEG uses kaolin and whole blood in an oscillating cuvette, into which a piston is lowered. The movement of the cuvette is translated to an oscillograph tracing as the blood thickens. In the TEG, the cuvette oscillates around the metal pin, whereas the pin moves around the cuvette in the ROTEM, conferring more stability against vibrations. Fig</w:t>
      </w:r>
      <w:r w:rsidRPr="000D2A0C">
        <w:rPr>
          <w:rFonts w:ascii="Times New Roman" w:hAnsi="Times New Roman" w:cs="Times New Roman" w:hint="eastAsia"/>
          <w:sz w:val="24"/>
          <w:szCs w:val="24"/>
          <w:lang w:val="en-US" w:eastAsia="zh-CN"/>
        </w:rPr>
        <w:t>.</w:t>
      </w:r>
      <w:r w:rsidRPr="000D2A0C">
        <w:rPr>
          <w:rFonts w:ascii="Times New Roman" w:hAnsi="Times New Roman" w:cs="Times New Roman"/>
          <w:sz w:val="24"/>
          <w:szCs w:val="24"/>
          <w:lang w:val="en-US"/>
        </w:rPr>
        <w:t xml:space="preserve"> 2a shows the TEG trace with the corresponding SCTs that provide information on the clot formation initiation, clot kinetics, and fibrinolysis.</w:t>
      </w:r>
    </w:p>
    <w:bookmarkEnd w:id="0"/>
    <w:p w:rsidR="00EE1378" w:rsidRPr="000D2A0C" w:rsidRDefault="00EE1378" w:rsidP="000D2A0C">
      <w:pPr>
        <w:spacing w:after="0" w:line="480" w:lineRule="auto"/>
        <w:rPr>
          <w:rFonts w:ascii="Times New Roman" w:hAnsi="Times New Roman" w:cs="Times New Roman"/>
          <w:b/>
          <w:bCs/>
          <w:sz w:val="24"/>
          <w:szCs w:val="24"/>
          <w:shd w:val="clear" w:color="auto" w:fill="FFFFFF"/>
          <w:lang w:val="en-US"/>
        </w:rPr>
      </w:pPr>
    </w:p>
    <w:p w:rsidR="00EE1378" w:rsidRPr="000D2A0C" w:rsidRDefault="00EE1378" w:rsidP="000D2A0C">
      <w:pPr>
        <w:spacing w:after="0" w:line="480" w:lineRule="auto"/>
        <w:rPr>
          <w:rFonts w:ascii="Times New Roman" w:hAnsi="Times New Roman" w:cs="Times New Roman"/>
          <w:b/>
          <w:bCs/>
          <w:i/>
          <w:iCs/>
          <w:sz w:val="24"/>
          <w:szCs w:val="24"/>
          <w:shd w:val="clear" w:color="auto" w:fill="FFFFFF"/>
          <w:lang w:val="en-US"/>
        </w:rPr>
      </w:pPr>
      <w:r w:rsidRPr="000D2A0C">
        <w:rPr>
          <w:rFonts w:ascii="Times New Roman" w:hAnsi="Times New Roman" w:cs="Times New Roman"/>
          <w:b/>
          <w:bCs/>
          <w:i/>
          <w:iCs/>
          <w:sz w:val="24"/>
          <w:szCs w:val="24"/>
          <w:shd w:val="clear" w:color="auto" w:fill="FFFFFF"/>
          <w:lang w:val="en-US"/>
        </w:rPr>
        <w:t>Sonoclot analysis</w:t>
      </w:r>
    </w:p>
    <w:p w:rsidR="00EE1378" w:rsidRPr="000D2A0C" w:rsidRDefault="00EE1378" w:rsidP="000D2A0C">
      <w:pPr>
        <w:spacing w:after="0" w:line="480" w:lineRule="auto"/>
        <w:rPr>
          <w:rFonts w:ascii="Times New Roman" w:hAnsi="Times New Roman" w:cs="Times New Roman"/>
          <w:sz w:val="24"/>
          <w:szCs w:val="24"/>
          <w:shd w:val="clear" w:color="auto" w:fill="FFFFFF"/>
          <w:lang w:val="en-US"/>
        </w:rPr>
      </w:pPr>
      <w:r w:rsidRPr="000D2A0C">
        <w:rPr>
          <w:rFonts w:ascii="Times New Roman" w:hAnsi="Times New Roman" w:cs="Times New Roman"/>
          <w:sz w:val="24"/>
          <w:szCs w:val="24"/>
          <w:shd w:val="clear" w:color="auto" w:fill="FFFFFF"/>
          <w:lang w:val="en-US"/>
        </w:rPr>
        <w:t xml:space="preserve">Citrated whole blood was used </w:t>
      </w:r>
      <w:bookmarkStart w:id="1" w:name="_Hlk535935880"/>
      <w:r w:rsidRPr="000D2A0C">
        <w:rPr>
          <w:rFonts w:ascii="Times New Roman" w:hAnsi="Times New Roman" w:cs="Times New Roman"/>
          <w:sz w:val="24"/>
          <w:szCs w:val="24"/>
          <w:shd w:val="clear" w:color="auto" w:fill="FFFFFF"/>
          <w:lang w:val="en-US"/>
        </w:rPr>
        <w:t>for Sonoclot analysis. A 340 aliquotof citrated whole blood was added to glass bead-activated</w:t>
      </w:r>
      <w:r w:rsidRPr="000D2A0C">
        <w:rPr>
          <w:rFonts w:ascii="Times New Roman" w:hAnsi="Times New Roman" w:cs="Times New Roman" w:hint="eastAsia"/>
          <w:sz w:val="24"/>
          <w:szCs w:val="24"/>
          <w:shd w:val="clear" w:color="auto" w:fill="FFFFFF"/>
          <w:lang w:val="en-US" w:eastAsia="zh-CN"/>
        </w:rPr>
        <w:t xml:space="preserve"> </w:t>
      </w:r>
      <w:r w:rsidRPr="000D2A0C">
        <w:rPr>
          <w:rFonts w:ascii="Times New Roman" w:hAnsi="Times New Roman" w:cs="Times New Roman"/>
          <w:sz w:val="24"/>
          <w:szCs w:val="24"/>
          <w:shd w:val="clear" w:color="auto" w:fill="FFFFFF"/>
          <w:lang w:val="en-US"/>
        </w:rPr>
        <w:t>ACT+ cuvette prewarmed to 37°C, along with 20 μL of CaCl</w:t>
      </w:r>
      <w:r w:rsidRPr="000D2A0C">
        <w:rPr>
          <w:rFonts w:ascii="Times New Roman" w:hAnsi="Times New Roman" w:cs="Times New Roman"/>
          <w:sz w:val="24"/>
          <w:szCs w:val="24"/>
          <w:bdr w:val="none" w:sz="0" w:space="0" w:color="auto" w:frame="1"/>
          <w:shd w:val="clear" w:color="auto" w:fill="FFFFFF"/>
          <w:vertAlign w:val="subscript"/>
          <w:lang w:val="en-US"/>
        </w:rPr>
        <w:t>2</w:t>
      </w:r>
      <w:r w:rsidRPr="000D2A0C">
        <w:rPr>
          <w:rFonts w:ascii="Times New Roman" w:hAnsi="Times New Roman" w:cs="Times New Roman"/>
          <w:sz w:val="24"/>
          <w:szCs w:val="24"/>
          <w:shd w:val="clear" w:color="auto" w:fill="FFFFFF"/>
          <w:lang w:val="en-US"/>
        </w:rPr>
        <w:t xml:space="preserve">. </w:t>
      </w:r>
      <w:bookmarkEnd w:id="1"/>
      <w:r w:rsidRPr="000D2A0C">
        <w:rPr>
          <w:rFonts w:ascii="Times New Roman" w:hAnsi="Times New Roman" w:cs="Times New Roman"/>
          <w:sz w:val="24"/>
          <w:szCs w:val="24"/>
          <w:shd w:val="clear" w:color="auto" w:fill="FFFFFF"/>
          <w:lang w:val="en-US"/>
        </w:rPr>
        <w:t xml:space="preserve">Sonoclot signature was obtained and recorded for a period of 30 </w:t>
      </w:r>
      <w:r w:rsidRPr="000D2A0C">
        <w:rPr>
          <w:rFonts w:ascii="Times New Roman" w:hAnsi="Times New Roman" w:cs="Times New Roman"/>
          <w:sz w:val="24"/>
          <w:szCs w:val="24"/>
          <w:shd w:val="clear" w:color="auto" w:fill="FFFFFF"/>
          <w:lang w:val="en-US"/>
        </w:rPr>
        <w:lastRenderedPageBreak/>
        <w:t>m on a Sonoclot analyzer (Sonoclot Coagulation and Platelet Function Analyzer; Sienco Inc., Arvada, CO, USA).</w:t>
      </w:r>
    </w:p>
    <w:p w:rsidR="00EE1378" w:rsidRPr="000D2A0C" w:rsidRDefault="00EE1378" w:rsidP="000D2A0C">
      <w:pPr>
        <w:autoSpaceDE w:val="0"/>
        <w:autoSpaceDN w:val="0"/>
        <w:adjustRightInd w:val="0"/>
        <w:spacing w:after="0" w:line="480" w:lineRule="auto"/>
        <w:rPr>
          <w:rFonts w:ascii="Times New Roman" w:hAnsi="Times New Roman" w:cs="Times New Roman"/>
          <w:sz w:val="24"/>
          <w:szCs w:val="24"/>
          <w:shd w:val="clear" w:color="auto" w:fill="FFFFFF"/>
          <w:lang w:val="en-US"/>
        </w:rPr>
      </w:pPr>
    </w:p>
    <w:p w:rsidR="00EE1378" w:rsidRPr="000D2A0C" w:rsidRDefault="00EE1378" w:rsidP="000D2A0C">
      <w:pPr>
        <w:autoSpaceDE w:val="0"/>
        <w:autoSpaceDN w:val="0"/>
        <w:adjustRightInd w:val="0"/>
        <w:spacing w:after="0" w:line="480" w:lineRule="auto"/>
        <w:rPr>
          <w:rFonts w:ascii="Times New Roman" w:hAnsi="Times New Roman" w:cs="Times New Roman"/>
          <w:sz w:val="24"/>
          <w:szCs w:val="24"/>
          <w:lang w:val="en-US"/>
        </w:rPr>
      </w:pPr>
      <w:r w:rsidRPr="000D2A0C">
        <w:rPr>
          <w:rFonts w:ascii="Times New Roman" w:hAnsi="Times New Roman" w:cs="Times New Roman"/>
          <w:sz w:val="24"/>
          <w:szCs w:val="24"/>
          <w:shd w:val="clear" w:color="auto" w:fill="FFFFFF"/>
          <w:lang w:val="en-US"/>
        </w:rPr>
        <w:t>The quantitative measurements included</w:t>
      </w:r>
      <w:r w:rsidRPr="000D2A0C">
        <w:rPr>
          <w:rFonts w:ascii="Times New Roman" w:hAnsi="Times New Roman" w:cs="Times New Roman" w:hint="eastAsia"/>
          <w:sz w:val="24"/>
          <w:szCs w:val="24"/>
          <w:shd w:val="clear" w:color="auto" w:fill="FFFFFF"/>
          <w:lang w:val="en-US" w:eastAsia="zh-CN"/>
        </w:rPr>
        <w:t xml:space="preserve"> </w:t>
      </w:r>
      <w:r w:rsidRPr="000D2A0C">
        <w:rPr>
          <w:rFonts w:ascii="Times New Roman" w:hAnsi="Times New Roman" w:cs="Times New Roman"/>
          <w:sz w:val="24"/>
          <w:szCs w:val="24"/>
          <w:shd w:val="clear" w:color="auto" w:fill="FFFFFF"/>
          <w:lang w:val="en-US"/>
        </w:rPr>
        <w:t>ACT, which is the interval in seconds between test onset till the beginning of fibrin formation.</w:t>
      </w:r>
      <w:r w:rsidRPr="000D2A0C">
        <w:rPr>
          <w:rFonts w:ascii="Times New Roman" w:hAnsi="Times New Roman" w:cs="Times New Roman"/>
          <w:sz w:val="24"/>
          <w:szCs w:val="24"/>
          <w:lang w:val="en-US"/>
        </w:rPr>
        <w:t xml:space="preserve"> It is the time from probe insertion into the cuvette until onset of fibrin formation and the end of the liquid phase, which is also the endpoint for SCTs such as the PT and a</w:t>
      </w:r>
      <w:r w:rsidRPr="000D2A0C">
        <w:rPr>
          <w:rFonts w:ascii="Times New Roman" w:hAnsi="Times New Roman" w:cs="Times New Roman" w:hint="eastAsia"/>
          <w:sz w:val="24"/>
          <w:szCs w:val="24"/>
          <w:lang w:val="en-US" w:eastAsia="zh-CN"/>
        </w:rPr>
        <w:t>v</w:t>
      </w:r>
      <w:r w:rsidRPr="000D2A0C">
        <w:rPr>
          <w:rFonts w:ascii="Times New Roman" w:hAnsi="Times New Roman" w:cs="Times New Roman"/>
          <w:sz w:val="24"/>
          <w:szCs w:val="24"/>
          <w:lang w:val="en-US"/>
        </w:rPr>
        <w:t>PTT times.</w:t>
      </w:r>
      <w:r w:rsidRPr="000D2A0C">
        <w:rPr>
          <w:rFonts w:ascii="Times New Roman" w:hAnsi="Times New Roman" w:cs="Times New Roman"/>
          <w:sz w:val="24"/>
          <w:szCs w:val="24"/>
          <w:shd w:val="clear" w:color="auto" w:fill="FFFFFF"/>
          <w:lang w:val="en-US"/>
        </w:rPr>
        <w:t xml:space="preserve"> The rate of fibrin formation from fibrinogen is known as CR, measured as </w:t>
      </w:r>
      <w:r w:rsidRPr="000D2A0C">
        <w:rPr>
          <w:rFonts w:ascii="Times New Roman" w:hAnsi="Times New Roman" w:cs="Times New Roman"/>
          <w:sz w:val="24"/>
          <w:szCs w:val="24"/>
          <w:lang w:val="en-US"/>
        </w:rPr>
        <w:t xml:space="preserve">the gradient of the primary slope measured as a percentage of peak amplitude per unit time. </w:t>
      </w:r>
      <w:r w:rsidRPr="000D2A0C">
        <w:rPr>
          <w:rFonts w:ascii="Times New Roman" w:hAnsi="Times New Roman" w:cs="Times New Roman"/>
          <w:sz w:val="24"/>
          <w:szCs w:val="24"/>
          <w:shd w:val="clear" w:color="auto" w:fill="FFFFFF"/>
          <w:lang w:val="en-US"/>
        </w:rPr>
        <w:t xml:space="preserve">The secondary slope </w:t>
      </w:r>
      <w:r w:rsidRPr="000D2A0C">
        <w:rPr>
          <w:rFonts w:ascii="Times New Roman" w:hAnsi="Times New Roman" w:cs="Times New Roman"/>
          <w:bCs/>
          <w:sz w:val="24"/>
          <w:szCs w:val="24"/>
          <w:shd w:val="clear" w:color="auto" w:fill="FFFFFF"/>
          <w:lang w:val="en-US"/>
        </w:rPr>
        <w:t xml:space="preserve">(R2) </w:t>
      </w:r>
      <w:r w:rsidRPr="000D2A0C">
        <w:rPr>
          <w:rFonts w:ascii="Times New Roman" w:hAnsi="Times New Roman" w:cs="Times New Roman"/>
          <w:sz w:val="24"/>
          <w:szCs w:val="24"/>
          <w:shd w:val="clear" w:color="auto" w:fill="FFFFFF"/>
          <w:lang w:val="en-US"/>
        </w:rPr>
        <w:t xml:space="preserve">reflects fibrin polymerization and platelet-fibrin interaction. The R2 peak indicates completion of fibrin formation and has two variables, the time to peak (in m), which is an index of the rate of conversion of fibrinogen to fibrin, and peak amplitude (in U) corresponding </w:t>
      </w:r>
      <w:r w:rsidRPr="000D2A0C">
        <w:rPr>
          <w:rFonts w:ascii="Times New Roman" w:hAnsi="Times New Roman" w:cs="Times New Roman"/>
          <w:sz w:val="24"/>
          <w:szCs w:val="24"/>
          <w:lang w:val="en-US"/>
        </w:rPr>
        <w:t>to the maximum impedance to probe vibration, measured in clot signal U, an indicator of functional fibrinogen and platelet function.</w:t>
      </w:r>
      <w:r w:rsidRPr="000D2A0C">
        <w:rPr>
          <w:rFonts w:ascii="Times New Roman" w:hAnsi="Times New Roman" w:cs="Times New Roman" w:hint="eastAsia"/>
          <w:sz w:val="24"/>
          <w:szCs w:val="24"/>
          <w:lang w:val="en-US" w:eastAsia="zh-CN"/>
        </w:rPr>
        <w:t xml:space="preserve"> </w:t>
      </w:r>
      <w:r w:rsidRPr="000D2A0C">
        <w:rPr>
          <w:rFonts w:ascii="Times New Roman" w:hAnsi="Times New Roman" w:cs="Times New Roman"/>
          <w:sz w:val="24"/>
          <w:szCs w:val="24"/>
          <w:shd w:val="clear" w:color="auto" w:fill="FFFFFF"/>
          <w:lang w:val="en-US"/>
        </w:rPr>
        <w:t xml:space="preserve">The downward slope </w:t>
      </w:r>
      <w:r w:rsidRPr="000D2A0C">
        <w:rPr>
          <w:rFonts w:ascii="Times New Roman" w:hAnsi="Times New Roman" w:cs="Times New Roman"/>
          <w:bCs/>
          <w:sz w:val="24"/>
          <w:szCs w:val="24"/>
          <w:shd w:val="clear" w:color="auto" w:fill="FFFFFF"/>
          <w:lang w:val="en-US"/>
        </w:rPr>
        <w:t>(R3),</w:t>
      </w:r>
      <w:r w:rsidRPr="000D2A0C">
        <w:rPr>
          <w:rFonts w:ascii="Times New Roman" w:hAnsi="Times New Roman" w:cs="Times New Roman"/>
          <w:sz w:val="24"/>
          <w:szCs w:val="24"/>
          <w:lang w:val="en-US"/>
        </w:rPr>
        <w:t xml:space="preserve"> the time to peak amplitude (in m), reflecting clot retraction away from the surface of the probe, an indicator of platelet function.</w:t>
      </w:r>
    </w:p>
    <w:p w:rsidR="00EE1378" w:rsidRPr="000D2A0C" w:rsidRDefault="00EE1378" w:rsidP="000D2A0C">
      <w:pPr>
        <w:autoSpaceDE w:val="0"/>
        <w:autoSpaceDN w:val="0"/>
        <w:adjustRightInd w:val="0"/>
        <w:spacing w:after="0" w:line="480" w:lineRule="auto"/>
        <w:rPr>
          <w:rFonts w:ascii="Times New Roman" w:hAnsi="Times New Roman" w:cs="Times New Roman"/>
          <w:sz w:val="24"/>
          <w:szCs w:val="24"/>
          <w:shd w:val="clear" w:color="auto" w:fill="FFFFFF"/>
          <w:lang w:val="en-US"/>
        </w:rPr>
      </w:pPr>
    </w:p>
    <w:p w:rsidR="00EE1378" w:rsidRPr="000D2A0C" w:rsidRDefault="00EE1378" w:rsidP="000D2A0C">
      <w:pPr>
        <w:autoSpaceDE w:val="0"/>
        <w:autoSpaceDN w:val="0"/>
        <w:adjustRightInd w:val="0"/>
        <w:spacing w:after="0" w:line="480" w:lineRule="auto"/>
        <w:rPr>
          <w:rFonts w:ascii="Times New Roman" w:hAnsi="Times New Roman" w:cs="Times New Roman"/>
          <w:sz w:val="24"/>
          <w:szCs w:val="24"/>
          <w:lang w:val="en-US"/>
        </w:rPr>
      </w:pPr>
      <w:r w:rsidRPr="000D2A0C">
        <w:rPr>
          <w:rFonts w:ascii="Times New Roman" w:hAnsi="Times New Roman" w:cs="Times New Roman"/>
          <w:sz w:val="24"/>
          <w:szCs w:val="24"/>
          <w:shd w:val="clear" w:color="auto" w:fill="FFFFFF"/>
          <w:lang w:val="en-US"/>
        </w:rPr>
        <w:t>In cases of thrombocytopenia and/or impaired platelet function, a shallow R3 slope is obtained. Hence, the R3 gradient is recorded as platelet function (PF) by the analyzer.</w:t>
      </w:r>
      <w:r w:rsidR="00C53564" w:rsidRPr="009B33C0">
        <w:rPr>
          <w:rFonts w:ascii="Times New Roman" w:hAnsi="Times New Roman" w:cs="Times New Roman"/>
          <w:sz w:val="24"/>
          <w:szCs w:val="24"/>
          <w:shd w:val="clear" w:color="auto" w:fill="FFFFFF"/>
          <w:vertAlign w:val="superscript"/>
          <w:lang w:val="en-US"/>
        </w:rPr>
        <w:t>s</w:t>
      </w:r>
      <w:r w:rsidR="00C53564">
        <w:rPr>
          <w:rFonts w:ascii="Times New Roman" w:hAnsi="Times New Roman" w:cs="Times New Roman"/>
          <w:sz w:val="24"/>
          <w:szCs w:val="24"/>
          <w:vertAlign w:val="superscript"/>
          <w:lang w:val="en-US" w:eastAsia="zh-CN"/>
        </w:rPr>
        <w:t>6</w:t>
      </w:r>
      <w:r w:rsidR="00C53564" w:rsidRPr="000D2A0C">
        <w:rPr>
          <w:rFonts w:ascii="Times New Roman" w:hAnsi="Times New Roman" w:cs="Times New Roman" w:hint="eastAsia"/>
          <w:sz w:val="24"/>
          <w:szCs w:val="24"/>
          <w:vertAlign w:val="superscript"/>
          <w:lang w:val="en-US" w:eastAsia="zh-CN"/>
        </w:rPr>
        <w:t xml:space="preserve"> </w:t>
      </w:r>
      <w:r w:rsidRPr="000D2A0C">
        <w:rPr>
          <w:rFonts w:ascii="Times New Roman" w:hAnsi="Times New Roman" w:cs="Times New Roman"/>
          <w:sz w:val="24"/>
          <w:szCs w:val="24"/>
          <w:lang w:val="en-US"/>
        </w:rPr>
        <w:t>Fig</w:t>
      </w:r>
      <w:r w:rsidRPr="000D2A0C">
        <w:rPr>
          <w:rFonts w:ascii="Times New Roman" w:hAnsi="Times New Roman" w:cs="Times New Roman" w:hint="eastAsia"/>
          <w:sz w:val="24"/>
          <w:szCs w:val="24"/>
          <w:lang w:val="en-US" w:eastAsia="zh-CN"/>
        </w:rPr>
        <w:t>.</w:t>
      </w:r>
      <w:r w:rsidRPr="000D2A0C">
        <w:rPr>
          <w:rFonts w:ascii="Times New Roman" w:hAnsi="Times New Roman" w:cs="Times New Roman"/>
          <w:sz w:val="24"/>
          <w:szCs w:val="24"/>
          <w:lang w:val="en-US"/>
        </w:rPr>
        <w:t xml:space="preserve"> 2b shows the classical Sonoclot signature, with actionable target variables corresponding to the stages of coagulation.</w:t>
      </w:r>
    </w:p>
    <w:p w:rsidR="00EE1378" w:rsidRPr="000D2A0C" w:rsidRDefault="00EE1378" w:rsidP="000D2A0C">
      <w:pPr>
        <w:spacing w:after="0" w:line="480" w:lineRule="auto"/>
        <w:rPr>
          <w:rFonts w:ascii="Times New Roman" w:hAnsi="Times New Roman" w:cs="Times New Roman"/>
          <w:sz w:val="24"/>
          <w:szCs w:val="24"/>
          <w:lang w:val="en-US"/>
        </w:rPr>
      </w:pPr>
    </w:p>
    <w:p w:rsidR="00EE1378" w:rsidRPr="000D2A0C" w:rsidRDefault="00EE1378" w:rsidP="000D2A0C">
      <w:pPr>
        <w:spacing w:after="0" w:line="480" w:lineRule="auto"/>
        <w:rPr>
          <w:rFonts w:ascii="Times New Roman" w:hAnsi="Times New Roman" w:cs="Times New Roman"/>
          <w:b/>
          <w:bCs/>
          <w:i/>
          <w:iCs/>
          <w:sz w:val="24"/>
          <w:szCs w:val="24"/>
          <w:lang w:val="en-US"/>
        </w:rPr>
      </w:pPr>
      <w:r w:rsidRPr="000D2A0C">
        <w:rPr>
          <w:rFonts w:ascii="Times New Roman" w:hAnsi="Times New Roman" w:cs="Times New Roman"/>
          <w:b/>
          <w:bCs/>
          <w:i/>
          <w:iCs/>
          <w:sz w:val="24"/>
          <w:szCs w:val="24"/>
          <w:lang w:val="en-US"/>
        </w:rPr>
        <w:lastRenderedPageBreak/>
        <w:t>Defined procedure risk in cirrhosis</w:t>
      </w:r>
    </w:p>
    <w:p w:rsidR="00EE1378" w:rsidRPr="000D2A0C" w:rsidRDefault="00EE1378" w:rsidP="000D2A0C">
      <w:pPr>
        <w:spacing w:after="0" w:line="480" w:lineRule="auto"/>
        <w:rPr>
          <w:rFonts w:ascii="Times New Roman" w:hAnsi="Times New Roman" w:cs="Times New Roman"/>
          <w:sz w:val="24"/>
          <w:szCs w:val="24"/>
          <w:lang w:val="en-US"/>
        </w:rPr>
      </w:pPr>
      <w:r w:rsidRPr="000D2A0C">
        <w:rPr>
          <w:rFonts w:ascii="Times New Roman" w:hAnsi="Times New Roman" w:cs="Times New Roman"/>
          <w:sz w:val="24"/>
          <w:szCs w:val="24"/>
          <w:shd w:val="clear" w:color="auto" w:fill="FFFFFF"/>
          <w:lang w:val="en-US"/>
        </w:rPr>
        <w:t xml:space="preserve">Procedure-related bleeding is common in cirrhosis patients but estimates of incidence vary widely.  </w:t>
      </w:r>
      <w:r w:rsidRPr="000D2A0C">
        <w:rPr>
          <w:rFonts w:ascii="Times New Roman" w:hAnsi="Times New Roman" w:cs="Times New Roman"/>
          <w:sz w:val="24"/>
          <w:szCs w:val="24"/>
          <w:lang w:val="en-US"/>
        </w:rPr>
        <w:t xml:space="preserve">Intagliata </w:t>
      </w:r>
      <w:r w:rsidRPr="000D2A0C">
        <w:rPr>
          <w:rFonts w:ascii="Times New Roman" w:hAnsi="Times New Roman" w:cs="Times New Roman"/>
          <w:i/>
          <w:sz w:val="24"/>
          <w:szCs w:val="24"/>
          <w:lang w:val="en-US"/>
        </w:rPr>
        <w:t>et al</w:t>
      </w:r>
      <w:r w:rsidRPr="000D2A0C">
        <w:rPr>
          <w:rFonts w:ascii="Times New Roman" w:hAnsi="Times New Roman" w:cs="Times New Roman"/>
          <w:sz w:val="24"/>
          <w:szCs w:val="24"/>
          <w:lang w:val="en-US"/>
        </w:rPr>
        <w:t>.</w:t>
      </w:r>
      <w:r w:rsidR="00C53564" w:rsidRPr="009B33C0">
        <w:rPr>
          <w:rFonts w:ascii="Times New Roman" w:hAnsi="Times New Roman" w:cs="Times New Roman"/>
          <w:sz w:val="24"/>
          <w:szCs w:val="24"/>
          <w:vertAlign w:val="superscript"/>
          <w:lang w:val="en-US"/>
        </w:rPr>
        <w:t>s</w:t>
      </w:r>
      <w:r w:rsidR="00C53564">
        <w:rPr>
          <w:rFonts w:ascii="Times New Roman" w:hAnsi="Times New Roman" w:cs="Times New Roman"/>
          <w:sz w:val="24"/>
          <w:szCs w:val="24"/>
          <w:bdr w:val="nil"/>
          <w:vertAlign w:val="superscript"/>
          <w:lang w:val="en-US" w:eastAsia="zh-CN"/>
        </w:rPr>
        <w:t>7</w:t>
      </w:r>
      <w:r w:rsidR="00C53564" w:rsidRPr="000D2A0C">
        <w:rPr>
          <w:rFonts w:ascii="Times New Roman" w:hAnsi="Times New Roman" w:cs="Times New Roman"/>
          <w:sz w:val="24"/>
          <w:szCs w:val="24"/>
          <w:lang w:val="en-US"/>
        </w:rPr>
        <w:t xml:space="preserve"> </w:t>
      </w:r>
      <w:r w:rsidRPr="000D2A0C">
        <w:rPr>
          <w:rFonts w:ascii="Times New Roman" w:hAnsi="Times New Roman" w:cs="Times New Roman"/>
          <w:sz w:val="24"/>
          <w:szCs w:val="24"/>
          <w:lang w:val="en-US"/>
        </w:rPr>
        <w:t>classified the risk of invasive procedures in liver disease with examples of high risk (cardiac, thoracic, intracranial surgery, etc.), intermediate risk (lumbar puncture, percutaneous or trans-jugular liver biopsy, trans-arterial embolization procedures, etc.) and low risk (paracentesis, thoracentesis, central line, etc.).</w:t>
      </w:r>
    </w:p>
    <w:p w:rsidR="00EE1378" w:rsidRPr="000D2A0C" w:rsidRDefault="00EE1378" w:rsidP="000D2A0C">
      <w:pPr>
        <w:spacing w:after="0" w:line="480" w:lineRule="auto"/>
        <w:rPr>
          <w:rFonts w:ascii="Times New Roman" w:hAnsi="Times New Roman" w:cs="Times New Roman"/>
          <w:b/>
          <w:bCs/>
          <w:sz w:val="24"/>
          <w:szCs w:val="24"/>
          <w:lang w:val="en-US"/>
        </w:rPr>
      </w:pPr>
    </w:p>
    <w:p w:rsidR="00EE1378" w:rsidRPr="000D2A0C" w:rsidRDefault="00EE1378" w:rsidP="000D2A0C">
      <w:pPr>
        <w:spacing w:after="0" w:line="480" w:lineRule="auto"/>
        <w:rPr>
          <w:rFonts w:ascii="Times New Roman" w:hAnsi="Times New Roman" w:cs="Times New Roman"/>
          <w:b/>
          <w:bCs/>
          <w:i/>
          <w:iCs/>
          <w:sz w:val="24"/>
          <w:szCs w:val="24"/>
          <w:lang w:val="en-US"/>
        </w:rPr>
      </w:pPr>
      <w:r w:rsidRPr="000D2A0C">
        <w:rPr>
          <w:rFonts w:ascii="Times New Roman" w:hAnsi="Times New Roman" w:cs="Times New Roman"/>
          <w:b/>
          <w:bCs/>
          <w:i/>
          <w:iCs/>
          <w:sz w:val="24"/>
          <w:szCs w:val="24"/>
          <w:lang w:val="en-US"/>
        </w:rPr>
        <w:t>Defined transfusion strategy in cirrhosis</w:t>
      </w:r>
    </w:p>
    <w:p w:rsidR="00EE1378" w:rsidRDefault="00EE1378" w:rsidP="000D2A0C">
      <w:pPr>
        <w:spacing w:after="0" w:line="480" w:lineRule="auto"/>
        <w:rPr>
          <w:rFonts w:ascii="Times New Roman" w:hAnsi="Times New Roman" w:cs="Times New Roman"/>
          <w:sz w:val="24"/>
          <w:szCs w:val="24"/>
          <w:bdr w:val="none" w:sz="0" w:space="0" w:color="auto" w:frame="1"/>
          <w:lang w:val="en-US"/>
        </w:rPr>
      </w:pPr>
      <w:r w:rsidRPr="000D2A0C">
        <w:rPr>
          <w:rFonts w:ascii="Times New Roman" w:hAnsi="Times New Roman" w:cs="Times New Roman"/>
          <w:sz w:val="24"/>
          <w:szCs w:val="24"/>
          <w:shd w:val="clear" w:color="auto" w:fill="FFFFFF"/>
          <w:lang w:val="en-US"/>
        </w:rPr>
        <w:t xml:space="preserve">Royston and von </w:t>
      </w:r>
      <w:r w:rsidR="00C53564" w:rsidRPr="000D2A0C">
        <w:rPr>
          <w:rFonts w:ascii="Times New Roman" w:hAnsi="Times New Roman" w:cs="Times New Roman"/>
          <w:sz w:val="24"/>
          <w:szCs w:val="24"/>
          <w:shd w:val="clear" w:color="auto" w:fill="FFFFFF"/>
          <w:lang w:val="en-US"/>
        </w:rPr>
        <w:t>Kier</w:t>
      </w:r>
      <w:r w:rsidR="00C53564" w:rsidRPr="009B33C0">
        <w:rPr>
          <w:rFonts w:ascii="Times New Roman" w:hAnsi="Times New Roman" w:cs="Times New Roman"/>
          <w:sz w:val="24"/>
          <w:szCs w:val="24"/>
          <w:shd w:val="clear" w:color="auto" w:fill="FFFFFF"/>
          <w:vertAlign w:val="superscript"/>
          <w:lang w:val="en-US"/>
        </w:rPr>
        <w:t>s</w:t>
      </w:r>
      <w:r w:rsidR="00C53564">
        <w:rPr>
          <w:rFonts w:ascii="Times New Roman" w:hAnsi="Times New Roman" w:cs="Times New Roman"/>
          <w:sz w:val="24"/>
          <w:szCs w:val="24"/>
          <w:bdr w:val="nil"/>
          <w:vertAlign w:val="superscript"/>
          <w:lang w:val="en-US" w:eastAsia="zh-CN"/>
        </w:rPr>
        <w:t>8</w:t>
      </w:r>
      <w:r w:rsidR="00C53564" w:rsidRPr="000D2A0C">
        <w:rPr>
          <w:rFonts w:ascii="Times New Roman" w:hAnsi="Times New Roman" w:cs="Times New Roman" w:hint="eastAsia"/>
          <w:sz w:val="24"/>
          <w:szCs w:val="24"/>
          <w:bdr w:val="nil"/>
          <w:vertAlign w:val="superscript"/>
          <w:lang w:val="en-US" w:eastAsia="zh-CN"/>
        </w:rPr>
        <w:t xml:space="preserve"> </w:t>
      </w:r>
      <w:r w:rsidRPr="000D2A0C">
        <w:rPr>
          <w:rFonts w:ascii="Times New Roman" w:hAnsi="Times New Roman" w:cs="Times New Roman"/>
          <w:sz w:val="24"/>
          <w:szCs w:val="24"/>
          <w:bdr w:val="none" w:sz="0" w:space="0" w:color="auto" w:frame="1"/>
          <w:lang w:val="en-US"/>
        </w:rPr>
        <w:t xml:space="preserve">developed the use of TEG in 60 patients undergoing complex cardiac surgery and compared the actual use of blood and blood components during cardiac surgery. Spalding </w:t>
      </w:r>
      <w:r w:rsidRPr="000D2A0C">
        <w:rPr>
          <w:rFonts w:ascii="Times New Roman" w:hAnsi="Times New Roman" w:cs="Times New Roman"/>
          <w:i/>
          <w:sz w:val="24"/>
          <w:szCs w:val="24"/>
          <w:bdr w:val="none" w:sz="0" w:space="0" w:color="auto" w:frame="1"/>
          <w:lang w:val="en-US"/>
        </w:rPr>
        <w:t>et al</w:t>
      </w:r>
      <w:r w:rsidRPr="000D2A0C">
        <w:rPr>
          <w:rFonts w:ascii="Times New Roman" w:hAnsi="Times New Roman" w:cs="Times New Roman"/>
          <w:sz w:val="24"/>
          <w:szCs w:val="24"/>
          <w:bdr w:val="none" w:sz="0" w:space="0" w:color="auto" w:frame="1"/>
          <w:lang w:val="en-US"/>
        </w:rPr>
        <w:t>.</w:t>
      </w:r>
      <w:r w:rsidR="00C53564" w:rsidRPr="009B33C0">
        <w:rPr>
          <w:rFonts w:ascii="Times New Roman" w:hAnsi="Times New Roman" w:cs="Times New Roman"/>
          <w:sz w:val="24"/>
          <w:szCs w:val="24"/>
          <w:bdr w:val="none" w:sz="0" w:space="0" w:color="auto" w:frame="1"/>
          <w:vertAlign w:val="superscript"/>
          <w:lang w:val="en-US"/>
        </w:rPr>
        <w:t>s</w:t>
      </w:r>
      <w:r w:rsidR="00C53564">
        <w:rPr>
          <w:rFonts w:ascii="Times New Roman" w:hAnsi="Times New Roman" w:cs="Times New Roman"/>
          <w:sz w:val="24"/>
          <w:szCs w:val="24"/>
          <w:bdr w:val="none" w:sz="0" w:space="0" w:color="auto" w:frame="1"/>
          <w:vertAlign w:val="superscript"/>
          <w:lang w:val="en-US" w:eastAsia="zh-CN"/>
        </w:rPr>
        <w:t>9</w:t>
      </w:r>
      <w:r w:rsidR="00C53564" w:rsidRPr="000D2A0C">
        <w:rPr>
          <w:rFonts w:ascii="Times New Roman" w:hAnsi="Times New Roman" w:cs="Times New Roman" w:hint="eastAsia"/>
          <w:sz w:val="24"/>
          <w:szCs w:val="24"/>
          <w:bdr w:val="none" w:sz="0" w:space="0" w:color="auto" w:frame="1"/>
          <w:vertAlign w:val="superscript"/>
          <w:lang w:val="en-US" w:eastAsia="zh-CN"/>
        </w:rPr>
        <w:t xml:space="preserve"> </w:t>
      </w:r>
      <w:r w:rsidRPr="000D2A0C">
        <w:rPr>
          <w:rFonts w:ascii="Times New Roman" w:hAnsi="Times New Roman" w:cs="Times New Roman"/>
          <w:sz w:val="24"/>
          <w:szCs w:val="24"/>
          <w:bdr w:val="none" w:sz="0" w:space="0" w:color="auto" w:frame="1"/>
          <w:lang w:val="en-US"/>
        </w:rPr>
        <w:t xml:space="preserve">and </w:t>
      </w:r>
      <w:r w:rsidRPr="000D2A0C">
        <w:rPr>
          <w:rFonts w:ascii="Times New Roman" w:hAnsi="Times New Roman" w:cs="Times New Roman"/>
          <w:sz w:val="24"/>
          <w:szCs w:val="24"/>
          <w:lang w:val="en-US"/>
        </w:rPr>
        <w:t xml:space="preserve">Görlinger </w:t>
      </w:r>
      <w:r w:rsidRPr="000D2A0C">
        <w:rPr>
          <w:rFonts w:ascii="Times New Roman" w:hAnsi="Times New Roman" w:cs="Times New Roman"/>
          <w:i/>
          <w:sz w:val="24"/>
          <w:szCs w:val="24"/>
          <w:bdr w:val="none" w:sz="0" w:space="0" w:color="auto" w:frame="1"/>
          <w:lang w:val="en-US"/>
        </w:rPr>
        <w:t>et al</w:t>
      </w:r>
      <w:r w:rsidRPr="000D2A0C">
        <w:rPr>
          <w:rFonts w:ascii="Times New Roman" w:hAnsi="Times New Roman" w:cs="Times New Roman"/>
          <w:sz w:val="24"/>
          <w:szCs w:val="24"/>
          <w:bdr w:val="none" w:sz="0" w:space="0" w:color="auto" w:frame="1"/>
          <w:lang w:val="en-US"/>
        </w:rPr>
        <w:t>.</w:t>
      </w:r>
      <w:r w:rsidR="00C53564" w:rsidRPr="009B33C0">
        <w:rPr>
          <w:rFonts w:ascii="Times New Roman" w:hAnsi="Times New Roman" w:cs="Times New Roman"/>
          <w:sz w:val="24"/>
          <w:szCs w:val="24"/>
          <w:bdr w:val="none" w:sz="0" w:space="0" w:color="auto" w:frame="1"/>
          <w:vertAlign w:val="superscript"/>
          <w:lang w:val="en-US"/>
        </w:rPr>
        <w:t>s</w:t>
      </w:r>
      <w:r w:rsidR="00C53564">
        <w:rPr>
          <w:rFonts w:ascii="Times New Roman" w:hAnsi="Times New Roman" w:cs="Times New Roman"/>
          <w:sz w:val="24"/>
          <w:szCs w:val="24"/>
          <w:bdr w:val="none" w:sz="0" w:space="0" w:color="auto" w:frame="1"/>
          <w:vertAlign w:val="superscript"/>
          <w:lang w:val="en-US" w:eastAsia="zh-CN"/>
        </w:rPr>
        <w:t>10</w:t>
      </w:r>
      <w:r w:rsidR="00C53564" w:rsidRPr="000D2A0C">
        <w:rPr>
          <w:rFonts w:ascii="Times New Roman" w:hAnsi="Times New Roman" w:cs="Times New Roman" w:hint="eastAsia"/>
          <w:sz w:val="24"/>
          <w:szCs w:val="24"/>
          <w:bdr w:val="none" w:sz="0" w:space="0" w:color="auto" w:frame="1"/>
          <w:vertAlign w:val="superscript"/>
          <w:lang w:val="en-US" w:eastAsia="zh-CN"/>
        </w:rPr>
        <w:t xml:space="preserve"> </w:t>
      </w:r>
      <w:r w:rsidRPr="000D2A0C">
        <w:rPr>
          <w:rFonts w:ascii="Times New Roman" w:hAnsi="Times New Roman" w:cs="Times New Roman"/>
          <w:sz w:val="24"/>
          <w:szCs w:val="24"/>
          <w:bdr w:val="none" w:sz="0" w:space="0" w:color="auto" w:frame="1"/>
          <w:lang w:val="en-US"/>
        </w:rPr>
        <w:t xml:space="preserve">devised algorithms based on ROTEM and according to the same principle. We have modified the concept for our patients with liver disease to predict the requirement of FFP and platelets using a TEG-based algorithm (Supplementary Table </w:t>
      </w:r>
      <w:r w:rsidR="000D2A0C">
        <w:rPr>
          <w:rFonts w:ascii="Times New Roman" w:hAnsi="Times New Roman" w:cs="Times New Roman" w:hint="eastAsia"/>
          <w:sz w:val="24"/>
          <w:szCs w:val="24"/>
          <w:bdr w:val="none" w:sz="0" w:space="0" w:color="auto" w:frame="1"/>
          <w:lang w:val="en-US" w:eastAsia="zh-CN"/>
        </w:rPr>
        <w:t>2</w:t>
      </w:r>
      <w:bookmarkStart w:id="2" w:name="_GoBack"/>
      <w:bookmarkEnd w:id="2"/>
      <w:r w:rsidRPr="000D2A0C">
        <w:rPr>
          <w:rFonts w:ascii="Times New Roman" w:hAnsi="Times New Roman" w:cs="Times New Roman"/>
          <w:sz w:val="24"/>
          <w:szCs w:val="24"/>
          <w:bdr w:val="none" w:sz="0" w:space="0" w:color="auto" w:frame="1"/>
          <w:lang w:val="en-US"/>
        </w:rPr>
        <w:t>).</w:t>
      </w:r>
    </w:p>
    <w:p w:rsidR="007D0F4B" w:rsidRDefault="007D0F4B" w:rsidP="000D2A0C">
      <w:pPr>
        <w:spacing w:after="0" w:line="480" w:lineRule="auto"/>
        <w:rPr>
          <w:rFonts w:ascii="Times New Roman" w:hAnsi="Times New Roman" w:cs="Times New Roman"/>
          <w:sz w:val="24"/>
          <w:szCs w:val="24"/>
          <w:bdr w:val="none" w:sz="0" w:space="0" w:color="auto" w:frame="1"/>
          <w:lang w:val="en-US"/>
        </w:rPr>
      </w:pPr>
    </w:p>
    <w:p w:rsidR="007D0F4B" w:rsidRDefault="007D0F4B" w:rsidP="000D2A0C">
      <w:pPr>
        <w:spacing w:after="0" w:line="480" w:lineRule="auto"/>
        <w:rPr>
          <w:rFonts w:ascii="Times New Roman" w:hAnsi="Times New Roman" w:cs="Times New Roman"/>
          <w:b/>
          <w:sz w:val="28"/>
          <w:szCs w:val="28"/>
          <w:bdr w:val="none" w:sz="0" w:space="0" w:color="auto" w:frame="1"/>
          <w:lang w:val="en-US"/>
        </w:rPr>
      </w:pPr>
      <w:r w:rsidRPr="00CB408B">
        <w:rPr>
          <w:rFonts w:ascii="Times New Roman" w:hAnsi="Times New Roman" w:cs="Times New Roman"/>
          <w:b/>
          <w:sz w:val="28"/>
          <w:szCs w:val="28"/>
          <w:bdr w:val="none" w:sz="0" w:space="0" w:color="auto" w:frame="1"/>
          <w:lang w:val="en-US"/>
        </w:rPr>
        <w:t>References</w:t>
      </w:r>
    </w:p>
    <w:p w:rsidR="008C1035" w:rsidRPr="00CB408B" w:rsidRDefault="008C1035" w:rsidP="000D2A0C">
      <w:pPr>
        <w:spacing w:after="0" w:line="480" w:lineRule="auto"/>
        <w:rPr>
          <w:rFonts w:ascii="Times New Roman" w:hAnsi="Times New Roman" w:cs="Times New Roman"/>
          <w:b/>
          <w:sz w:val="28"/>
          <w:szCs w:val="28"/>
          <w:bdr w:val="none" w:sz="0" w:space="0" w:color="auto" w:frame="1"/>
          <w:lang w:val="en-US"/>
        </w:rPr>
      </w:pPr>
    </w:p>
    <w:p w:rsidR="00176702" w:rsidRPr="0008176E" w:rsidRDefault="00414278" w:rsidP="00176702">
      <w:pPr>
        <w:pStyle w:val="Reference"/>
        <w:rPr>
          <w:lang w:eastAsia="en-GB" w:bidi="hi-IN"/>
        </w:rPr>
      </w:pPr>
      <w:r>
        <w:rPr>
          <w:shd w:val="clear" w:color="auto" w:fill="FFFFFF"/>
        </w:rPr>
        <w:t>s</w:t>
      </w:r>
      <w:r w:rsidR="00176702">
        <w:rPr>
          <w:shd w:val="clear" w:color="auto" w:fill="FFFFFF"/>
        </w:rPr>
        <w:t xml:space="preserve">1. </w:t>
      </w:r>
      <w:r w:rsidR="00176702" w:rsidRPr="0008176E">
        <w:rPr>
          <w:shd w:val="clear" w:color="auto" w:fill="FFFFFF"/>
        </w:rPr>
        <w:t xml:space="preserve">Kamath PS, Wiesner RH, Malinchoc M, Kremers W, Therneau TM, Kosberg CL, </w:t>
      </w:r>
      <w:r w:rsidR="00176702" w:rsidRPr="0008176E">
        <w:rPr>
          <w:i/>
          <w:shd w:val="clear" w:color="auto" w:fill="FFFFFF"/>
          <w:lang w:eastAsia="zh-CN"/>
        </w:rPr>
        <w:t>et al</w:t>
      </w:r>
      <w:r w:rsidR="00176702" w:rsidRPr="0008176E">
        <w:rPr>
          <w:shd w:val="clear" w:color="auto" w:fill="FFFFFF"/>
        </w:rPr>
        <w:t>. A model to predict survival in patients with end-stage liver disease. Hepatology 2001;33:464-</w:t>
      </w:r>
      <w:r w:rsidR="00176702" w:rsidRPr="0008176E">
        <w:rPr>
          <w:shd w:val="clear" w:color="auto" w:fill="FFFFFF"/>
          <w:lang w:eastAsia="zh-CN"/>
        </w:rPr>
        <w:t>4</w:t>
      </w:r>
      <w:r w:rsidR="00176702" w:rsidRPr="0008176E">
        <w:rPr>
          <w:shd w:val="clear" w:color="auto" w:fill="FFFFFF"/>
        </w:rPr>
        <w:t>70. doi: 10.1053/jhep.2001.22172</w:t>
      </w:r>
      <w:r w:rsidR="00176702" w:rsidRPr="0008176E">
        <w:rPr>
          <w:lang w:eastAsia="zh-CN" w:bidi="hi-IN"/>
        </w:rPr>
        <w:t>.</w:t>
      </w:r>
    </w:p>
    <w:p w:rsidR="00176702" w:rsidRPr="0008176E" w:rsidRDefault="00414278" w:rsidP="00176702">
      <w:pPr>
        <w:pStyle w:val="Reference"/>
        <w:rPr>
          <w:lang w:eastAsia="en-GB" w:bidi="hi-IN"/>
        </w:rPr>
      </w:pPr>
      <w:r>
        <w:rPr>
          <w:shd w:val="clear" w:color="auto" w:fill="FFFFFF"/>
        </w:rPr>
        <w:t>s2</w:t>
      </w:r>
      <w:r w:rsidR="00176702">
        <w:rPr>
          <w:shd w:val="clear" w:color="auto" w:fill="FFFFFF"/>
        </w:rPr>
        <w:t xml:space="preserve">. </w:t>
      </w:r>
      <w:r w:rsidR="00176702" w:rsidRPr="0008176E">
        <w:rPr>
          <w:shd w:val="clear" w:color="auto" w:fill="FFFFFF"/>
        </w:rPr>
        <w:t>Barosa R, Roque Ramos L, Patita M, Nunes G, Fonseca J. CLIF-C ACLF score is a better mortality predictor than MELD, MELD-Na and CTP in patients with Acute on chronic liver failure admitted to the ward. Rev Esp Enferm Dig 2017;109:399-405. doi: 10.17235/reed.2017.4701/2016</w:t>
      </w:r>
      <w:r w:rsidR="00176702" w:rsidRPr="0008176E">
        <w:rPr>
          <w:lang w:eastAsia="en-GB" w:bidi="hi-IN"/>
        </w:rPr>
        <w:t>.</w:t>
      </w:r>
    </w:p>
    <w:p w:rsidR="00176702" w:rsidRPr="0008176E" w:rsidRDefault="00414278" w:rsidP="00176702">
      <w:pPr>
        <w:pStyle w:val="Reference"/>
      </w:pPr>
      <w:r>
        <w:rPr>
          <w:shd w:val="clear" w:color="auto" w:fill="FFFFFF"/>
        </w:rPr>
        <w:lastRenderedPageBreak/>
        <w:t>s3</w:t>
      </w:r>
      <w:r w:rsidR="00176702">
        <w:rPr>
          <w:shd w:val="clear" w:color="auto" w:fill="FFFFFF"/>
        </w:rPr>
        <w:t xml:space="preserve">. </w:t>
      </w:r>
      <w:r w:rsidR="00176702" w:rsidRPr="0008176E">
        <w:rPr>
          <w:shd w:val="clear" w:color="auto" w:fill="FFFFFF"/>
        </w:rPr>
        <w:t xml:space="preserve">Drolz A, Horvatits T, Roedl K, Rutter K, Staufer K, Kneidinger N, </w:t>
      </w:r>
      <w:r w:rsidR="00176702" w:rsidRPr="0008176E">
        <w:rPr>
          <w:i/>
          <w:shd w:val="clear" w:color="auto" w:fill="FFFFFF"/>
          <w:lang w:eastAsia="zh-CN"/>
        </w:rPr>
        <w:t>et al</w:t>
      </w:r>
      <w:r w:rsidR="00176702" w:rsidRPr="0008176E">
        <w:rPr>
          <w:shd w:val="clear" w:color="auto" w:fill="FFFFFF"/>
        </w:rPr>
        <w:t>. Coagulation parameters and major bleeding in critically ill patients with cirrhosis. Hepatology 2016;64:556-</w:t>
      </w:r>
      <w:r w:rsidR="00176702" w:rsidRPr="0008176E">
        <w:rPr>
          <w:shd w:val="clear" w:color="auto" w:fill="FFFFFF"/>
          <w:lang w:eastAsia="zh-CN"/>
        </w:rPr>
        <w:t>5</w:t>
      </w:r>
      <w:r w:rsidR="00176702" w:rsidRPr="0008176E">
        <w:rPr>
          <w:shd w:val="clear" w:color="auto" w:fill="FFFFFF"/>
        </w:rPr>
        <w:t>68. doi: 10.1002/hep.28628</w:t>
      </w:r>
      <w:r w:rsidR="00176702" w:rsidRPr="0008176E">
        <w:t>.</w:t>
      </w:r>
    </w:p>
    <w:p w:rsidR="00176702" w:rsidRPr="0008176E" w:rsidRDefault="00414278" w:rsidP="00176702">
      <w:pPr>
        <w:pStyle w:val="Reference"/>
        <w:rPr>
          <w:lang w:eastAsia="en-GB" w:bidi="hi-IN"/>
        </w:rPr>
      </w:pPr>
      <w:r>
        <w:rPr>
          <w:shd w:val="clear" w:color="auto" w:fill="FFFFFF"/>
        </w:rPr>
        <w:t>s4</w:t>
      </w:r>
      <w:r w:rsidR="00176702">
        <w:rPr>
          <w:shd w:val="clear" w:color="auto" w:fill="FFFFFF"/>
        </w:rPr>
        <w:t xml:space="preserve">. </w:t>
      </w:r>
      <w:r w:rsidR="00176702" w:rsidRPr="0008176E">
        <w:rPr>
          <w:shd w:val="clear" w:color="auto" w:fill="FFFFFF"/>
        </w:rPr>
        <w:t xml:space="preserve">De Pietri L, Bianchini M, Montalti R, De Maria N, Di Maira T, Begliomini B, </w:t>
      </w:r>
      <w:r w:rsidR="00176702" w:rsidRPr="0008176E">
        <w:rPr>
          <w:i/>
          <w:shd w:val="clear" w:color="auto" w:fill="FFFFFF"/>
          <w:lang w:eastAsia="zh-CN"/>
        </w:rPr>
        <w:t>et al</w:t>
      </w:r>
      <w:r w:rsidR="00176702" w:rsidRPr="0008176E">
        <w:rPr>
          <w:shd w:val="clear" w:color="auto" w:fill="FFFFFF"/>
        </w:rPr>
        <w:t>. Thrombelastography-guided blood product use before invasive procedures in cirrhosis with severe coagulopathy: A randomized, controlled trial. Hepatology 2016;63:566-</w:t>
      </w:r>
      <w:r w:rsidR="00176702" w:rsidRPr="0008176E">
        <w:rPr>
          <w:shd w:val="clear" w:color="auto" w:fill="FFFFFF"/>
          <w:lang w:eastAsia="zh-CN"/>
        </w:rPr>
        <w:t>5</w:t>
      </w:r>
      <w:r w:rsidR="00176702" w:rsidRPr="0008176E">
        <w:rPr>
          <w:shd w:val="clear" w:color="auto" w:fill="FFFFFF"/>
        </w:rPr>
        <w:t>73. doi: 10.1002/hep.28148</w:t>
      </w:r>
      <w:r w:rsidR="00176702" w:rsidRPr="0008176E">
        <w:rPr>
          <w:shd w:val="clear" w:color="auto" w:fill="FFFFFF"/>
          <w:lang w:eastAsia="zh-CN"/>
        </w:rPr>
        <w:t>.</w:t>
      </w:r>
    </w:p>
    <w:p w:rsidR="00176702" w:rsidRPr="0008176E" w:rsidRDefault="00414278" w:rsidP="00176702">
      <w:pPr>
        <w:pStyle w:val="Reference"/>
        <w:rPr>
          <w:lang w:eastAsia="en-GB" w:bidi="hi-IN"/>
        </w:rPr>
      </w:pPr>
      <w:r>
        <w:rPr>
          <w:shd w:val="clear" w:color="auto" w:fill="FFFFFF"/>
        </w:rPr>
        <w:t>s5</w:t>
      </w:r>
      <w:r w:rsidR="00176702">
        <w:rPr>
          <w:shd w:val="clear" w:color="auto" w:fill="FFFFFF"/>
        </w:rPr>
        <w:t xml:space="preserve">. </w:t>
      </w:r>
      <w:r w:rsidR="00176702" w:rsidRPr="0008176E">
        <w:rPr>
          <w:shd w:val="clear" w:color="auto" w:fill="FFFFFF"/>
        </w:rPr>
        <w:t xml:space="preserve">Premkumar M, Saxena P, Rangegowda D, Baweja S, Mirza R, Jain P, </w:t>
      </w:r>
      <w:r w:rsidR="00176702" w:rsidRPr="0008176E">
        <w:rPr>
          <w:i/>
          <w:shd w:val="clear" w:color="auto" w:fill="FFFFFF"/>
          <w:lang w:eastAsia="zh-CN"/>
        </w:rPr>
        <w:t>et al</w:t>
      </w:r>
      <w:r w:rsidR="00176702" w:rsidRPr="0008176E">
        <w:rPr>
          <w:shd w:val="clear" w:color="auto" w:fill="FFFFFF"/>
        </w:rPr>
        <w:t>. Coagulation failure is associated with bleeding events and clinical outcome during systemic inflammatory response and sepsis in acute-on-chronic liver failure: An observational cohort study. Liver Int 2019;39:694-704. doi: 10.1111/liv.14034</w:t>
      </w:r>
      <w:r w:rsidR="00176702" w:rsidRPr="0008176E">
        <w:rPr>
          <w:lang w:eastAsia="en-GB" w:bidi="hi-IN"/>
        </w:rPr>
        <w:t>.</w:t>
      </w:r>
    </w:p>
    <w:p w:rsidR="00176702" w:rsidRPr="0008176E" w:rsidRDefault="00AD595C" w:rsidP="00176702">
      <w:pPr>
        <w:pStyle w:val="Reference"/>
        <w:rPr>
          <w:rStyle w:val="Hyperlink"/>
          <w:lang w:val="en-US" w:eastAsia="en-GB" w:bidi="hi-IN"/>
        </w:rPr>
      </w:pPr>
      <w:r>
        <w:rPr>
          <w:shd w:val="clear" w:color="auto" w:fill="FFFFFF"/>
        </w:rPr>
        <w:t>s6</w:t>
      </w:r>
      <w:r w:rsidR="00176702">
        <w:rPr>
          <w:shd w:val="clear" w:color="auto" w:fill="FFFFFF"/>
        </w:rPr>
        <w:t xml:space="preserve">. </w:t>
      </w:r>
      <w:r w:rsidR="00176702" w:rsidRPr="0008176E">
        <w:rPr>
          <w:shd w:val="clear" w:color="auto" w:fill="FFFFFF"/>
        </w:rPr>
        <w:t xml:space="preserve">Premkumar M, Bihari C, Saxena P, Devurgowda DR, Vyas T, Mirza R, </w:t>
      </w:r>
      <w:r w:rsidR="00176702" w:rsidRPr="0008176E">
        <w:rPr>
          <w:i/>
          <w:shd w:val="clear" w:color="auto" w:fill="FFFFFF"/>
          <w:lang w:eastAsia="zh-CN"/>
        </w:rPr>
        <w:t>et al</w:t>
      </w:r>
      <w:r w:rsidR="00176702" w:rsidRPr="0008176E">
        <w:rPr>
          <w:shd w:val="clear" w:color="auto" w:fill="FFFFFF"/>
        </w:rPr>
        <w:t>. Heparin-like effect associated with risk of bleeding, sepsis, and death in patients with severe alcohol-associated hepatitis. Clin Gastroenterol Hepatol 2020;18:486-495.e3. doi: 10.1016/j.cgh.2019.04.057</w:t>
      </w:r>
      <w:r w:rsidR="00176702" w:rsidRPr="0008176E">
        <w:rPr>
          <w:shd w:val="clear" w:color="auto" w:fill="FFFFFF"/>
          <w:lang w:eastAsia="zh-CN"/>
        </w:rPr>
        <w:t>.</w:t>
      </w:r>
      <w:r w:rsidR="00176702" w:rsidRPr="0008176E">
        <w:rPr>
          <w:rStyle w:val="Hyperlink"/>
          <w:shd w:val="clear" w:color="auto" w:fill="FFFFFF"/>
          <w:lang w:val="en-US" w:eastAsia="zh-CN"/>
        </w:rPr>
        <w:t xml:space="preserve"> </w:t>
      </w:r>
    </w:p>
    <w:p w:rsidR="00176702" w:rsidRPr="0008176E" w:rsidRDefault="00AD595C" w:rsidP="00176702">
      <w:pPr>
        <w:pStyle w:val="Reference"/>
      </w:pPr>
      <w:r>
        <w:rPr>
          <w:shd w:val="clear" w:color="auto" w:fill="FFFFFF"/>
        </w:rPr>
        <w:t>s7</w:t>
      </w:r>
      <w:r w:rsidR="00176702">
        <w:rPr>
          <w:shd w:val="clear" w:color="auto" w:fill="FFFFFF"/>
        </w:rPr>
        <w:t xml:space="preserve">. </w:t>
      </w:r>
      <w:r w:rsidR="00176702" w:rsidRPr="0008176E">
        <w:rPr>
          <w:shd w:val="clear" w:color="auto" w:fill="FFFFFF"/>
        </w:rPr>
        <w:t>Intagliata NM, Argo CK, Stine JG, Lisman T, Caldwell SH, Violi F. Concepts and controversies in haemostasis and thrombosis associated with liver disease: Proceedings of the 7th International Coagulation in Liver Disease Conference. Thromb Haemost 2018;118:1491-1506. doi: 10.1055/s-0038-1666861</w:t>
      </w:r>
      <w:r w:rsidR="00176702" w:rsidRPr="0008176E">
        <w:t>.</w:t>
      </w:r>
    </w:p>
    <w:p w:rsidR="00176702" w:rsidRPr="0008176E" w:rsidRDefault="00AD595C" w:rsidP="00176702">
      <w:pPr>
        <w:pStyle w:val="Reference"/>
      </w:pPr>
      <w:r>
        <w:rPr>
          <w:shd w:val="clear" w:color="auto" w:fill="FFFFFF"/>
        </w:rPr>
        <w:t>s8</w:t>
      </w:r>
      <w:r w:rsidR="00176702">
        <w:rPr>
          <w:shd w:val="clear" w:color="auto" w:fill="FFFFFF"/>
        </w:rPr>
        <w:t xml:space="preserve">. </w:t>
      </w:r>
      <w:r w:rsidR="00176702" w:rsidRPr="0008176E">
        <w:rPr>
          <w:shd w:val="clear" w:color="auto" w:fill="FFFFFF"/>
        </w:rPr>
        <w:t>Royston D, von Kier S. Reduced haemostatic factor transfusion using heparinase-modified thrombelastography during cardiopulmonary bypass. Br J Anaesth 2001;86:575-</w:t>
      </w:r>
      <w:r w:rsidR="00176702" w:rsidRPr="0008176E">
        <w:rPr>
          <w:shd w:val="clear" w:color="auto" w:fill="FFFFFF"/>
          <w:lang w:eastAsia="zh-CN"/>
        </w:rPr>
        <w:t>57</w:t>
      </w:r>
      <w:r w:rsidR="00176702" w:rsidRPr="0008176E">
        <w:rPr>
          <w:shd w:val="clear" w:color="auto" w:fill="FFFFFF"/>
        </w:rPr>
        <w:t>8. doi: 10.1093/bja/86.4.575</w:t>
      </w:r>
      <w:r w:rsidR="00176702" w:rsidRPr="0008176E">
        <w:t>.</w:t>
      </w:r>
    </w:p>
    <w:p w:rsidR="00176702" w:rsidRPr="0008176E" w:rsidRDefault="00AD595C" w:rsidP="00176702">
      <w:pPr>
        <w:pStyle w:val="Reference"/>
      </w:pPr>
      <w:r>
        <w:rPr>
          <w:shd w:val="clear" w:color="auto" w:fill="FFFFFF"/>
        </w:rPr>
        <w:t>s9</w:t>
      </w:r>
      <w:r w:rsidR="00176702">
        <w:rPr>
          <w:shd w:val="clear" w:color="auto" w:fill="FFFFFF"/>
        </w:rPr>
        <w:t xml:space="preserve">. </w:t>
      </w:r>
      <w:r w:rsidR="00176702" w:rsidRPr="0008176E">
        <w:rPr>
          <w:shd w:val="clear" w:color="auto" w:fill="FFFFFF"/>
        </w:rPr>
        <w:t>Spalding GJ, Hartrumpf M, Sierig T, Oesberg N, Kirschke CG, Albes JM. Cost reduction of perioperative coagulation management in cardiac surgery: value of “bedside” thrombelastography (ROTEM). Eur J Cardiothorac Surg 2007;31:1052-</w:t>
      </w:r>
      <w:r w:rsidR="00176702" w:rsidRPr="0008176E">
        <w:rPr>
          <w:shd w:val="clear" w:color="auto" w:fill="FFFFFF"/>
          <w:lang w:eastAsia="zh-CN"/>
        </w:rPr>
        <w:t>105</w:t>
      </w:r>
      <w:r w:rsidR="00176702" w:rsidRPr="0008176E">
        <w:rPr>
          <w:shd w:val="clear" w:color="auto" w:fill="FFFFFF"/>
        </w:rPr>
        <w:t>7. doi: 10.1016/j.ejcts.2007.02.022</w:t>
      </w:r>
      <w:r w:rsidR="00176702" w:rsidRPr="0008176E">
        <w:t>.</w:t>
      </w:r>
    </w:p>
    <w:p w:rsidR="00176702" w:rsidRPr="0008176E" w:rsidRDefault="00AD595C" w:rsidP="00176702">
      <w:pPr>
        <w:pStyle w:val="Reference"/>
      </w:pPr>
      <w:r>
        <w:rPr>
          <w:shd w:val="clear" w:color="auto" w:fill="FFFFFF"/>
        </w:rPr>
        <w:t>s10</w:t>
      </w:r>
      <w:r w:rsidR="00176702">
        <w:rPr>
          <w:shd w:val="clear" w:color="auto" w:fill="FFFFFF"/>
        </w:rPr>
        <w:t xml:space="preserve">. </w:t>
      </w:r>
      <w:r w:rsidR="00176702" w:rsidRPr="0008176E">
        <w:rPr>
          <w:shd w:val="clear" w:color="auto" w:fill="FFFFFF"/>
        </w:rPr>
        <w:t xml:space="preserve">Görlinger K, Pérez-Ferrer A, Dirkmann D, Saner F, Maegele M, Calatayud ÁAP, </w:t>
      </w:r>
      <w:r w:rsidR="00176702" w:rsidRPr="0008176E">
        <w:rPr>
          <w:i/>
          <w:shd w:val="clear" w:color="auto" w:fill="FFFFFF"/>
          <w:lang w:eastAsia="zh-CN"/>
        </w:rPr>
        <w:t>et al</w:t>
      </w:r>
      <w:r w:rsidR="00176702" w:rsidRPr="0008176E">
        <w:rPr>
          <w:shd w:val="clear" w:color="auto" w:fill="FFFFFF"/>
        </w:rPr>
        <w:t>. The role of evidence-based algorithms for rotational thromboelastometry-guided bleeding management. Korean J Anesthesiol 2019;7</w:t>
      </w:r>
      <w:r w:rsidR="00176702" w:rsidRPr="0008176E">
        <w:rPr>
          <w:shd w:val="clear" w:color="auto" w:fill="FFFFFF"/>
          <w:lang w:eastAsia="zh-CN"/>
        </w:rPr>
        <w:t>2</w:t>
      </w:r>
      <w:r w:rsidR="00176702" w:rsidRPr="0008176E">
        <w:rPr>
          <w:shd w:val="clear" w:color="auto" w:fill="FFFFFF"/>
        </w:rPr>
        <w:t>:297-322. doi: 10.4097/kja.19169</w:t>
      </w:r>
      <w:r w:rsidR="00176702" w:rsidRPr="0008176E">
        <w:t>.</w:t>
      </w:r>
    </w:p>
    <w:p w:rsidR="00176702" w:rsidRDefault="00176702" w:rsidP="00176702"/>
    <w:p w:rsidR="0044450A" w:rsidRPr="000D2A0C" w:rsidRDefault="0044450A" w:rsidP="000D2A0C">
      <w:pPr>
        <w:spacing w:after="0" w:line="480" w:lineRule="auto"/>
        <w:rPr>
          <w:sz w:val="24"/>
          <w:szCs w:val="24"/>
        </w:rPr>
      </w:pPr>
    </w:p>
    <w:sectPr w:rsidR="0044450A" w:rsidRPr="000D2A0C" w:rsidSect="007046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638B1"/>
    <w:multiLevelType w:val="hybridMultilevel"/>
    <w:tmpl w:val="81E008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1378"/>
    <w:rsid w:val="000D2A0C"/>
    <w:rsid w:val="00176702"/>
    <w:rsid w:val="001B740C"/>
    <w:rsid w:val="00414278"/>
    <w:rsid w:val="0044450A"/>
    <w:rsid w:val="00704639"/>
    <w:rsid w:val="007D0F4B"/>
    <w:rsid w:val="008577DA"/>
    <w:rsid w:val="00892697"/>
    <w:rsid w:val="008C1035"/>
    <w:rsid w:val="009B33C0"/>
    <w:rsid w:val="00AD595C"/>
    <w:rsid w:val="00B06D71"/>
    <w:rsid w:val="00B96CB9"/>
    <w:rsid w:val="00C53564"/>
    <w:rsid w:val="00C64252"/>
    <w:rsid w:val="00CB408B"/>
    <w:rsid w:val="00CE70B9"/>
    <w:rsid w:val="00EE13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78"/>
    <w:pPr>
      <w:spacing w:after="160" w:line="259" w:lineRule="auto"/>
    </w:pPr>
    <w:rPr>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1378"/>
    <w:rPr>
      <w:u w:val="single"/>
    </w:rPr>
  </w:style>
  <w:style w:type="paragraph" w:styleId="ListParagraph">
    <w:name w:val="List Paragraph"/>
    <w:basedOn w:val="Normal"/>
    <w:qFormat/>
    <w:rsid w:val="00EE1378"/>
    <w:pPr>
      <w:ind w:left="720"/>
      <w:contextualSpacing/>
    </w:pPr>
  </w:style>
  <w:style w:type="character" w:customStyle="1" w:styleId="jrnl">
    <w:name w:val="jrnl"/>
    <w:basedOn w:val="DefaultParagraphFont"/>
    <w:rsid w:val="00EE1378"/>
  </w:style>
  <w:style w:type="paragraph" w:customStyle="1" w:styleId="Title2">
    <w:name w:val="Title2"/>
    <w:basedOn w:val="Normal"/>
    <w:rsid w:val="00EE1378"/>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paragraph" w:customStyle="1" w:styleId="Reference">
    <w:name w:val="Reference"/>
    <w:rsid w:val="00176702"/>
    <w:pPr>
      <w:ind w:left="357" w:hanging="357"/>
    </w:pPr>
    <w:rPr>
      <w:rFonts w:ascii="Times New Roman" w:eastAsia="宋体" w:hAnsi="Times New Roman" w:cs="Times New Roman"/>
      <w:kern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78"/>
    <w:pPr>
      <w:spacing w:after="160" w:line="259"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1378"/>
    <w:rPr>
      <w:u w:val="single"/>
    </w:rPr>
  </w:style>
  <w:style w:type="paragraph" w:styleId="a4">
    <w:name w:val="List Paragraph"/>
    <w:basedOn w:val="a"/>
    <w:qFormat/>
    <w:rsid w:val="00EE1378"/>
    <w:pPr>
      <w:ind w:left="720"/>
      <w:contextualSpacing/>
    </w:pPr>
  </w:style>
  <w:style w:type="character" w:customStyle="1" w:styleId="jrnl">
    <w:name w:val="jrnl"/>
    <w:basedOn w:val="a0"/>
    <w:rsid w:val="00EE1378"/>
  </w:style>
  <w:style w:type="paragraph" w:customStyle="1" w:styleId="Title2">
    <w:name w:val="Title2"/>
    <w:basedOn w:val="a"/>
    <w:rsid w:val="00EE1378"/>
    <w:pPr>
      <w:spacing w:before="100" w:beforeAutospacing="1" w:after="100" w:afterAutospacing="1" w:line="240" w:lineRule="auto"/>
    </w:pPr>
    <w:rPr>
      <w:rFonts w:ascii="Times New Roman" w:eastAsia="Times New Roman" w:hAnsi="Times New Roman" w:cs="Times New Roman"/>
      <w:sz w:val="24"/>
      <w:szCs w:val="24"/>
      <w:lang w:val="en-IN"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Robin Wei</cp:lastModifiedBy>
  <cp:revision>18</cp:revision>
  <dcterms:created xsi:type="dcterms:W3CDTF">2021-01-31T04:12:00Z</dcterms:created>
  <dcterms:modified xsi:type="dcterms:W3CDTF">2021-02-01T00:08:00Z</dcterms:modified>
</cp:coreProperties>
</file>