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AB" w:rsidRPr="00C85A62" w:rsidRDefault="00187BAB" w:rsidP="00187BA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857B70">
        <w:rPr>
          <w:rFonts w:ascii="Times New Roman" w:eastAsia="宋体" w:hAnsi="Times New Roman" w:cs="Times New Roman"/>
          <w:b/>
          <w:bCs/>
          <w:sz w:val="24"/>
          <w:szCs w:val="21"/>
        </w:rPr>
        <w:t xml:space="preserve"> Table 8. Analysis of risk factors affecting 12-week prognosis in study participants</w:t>
      </w:r>
    </w:p>
    <w:tbl>
      <w:tblPr>
        <w:tblW w:w="5216" w:type="pct"/>
        <w:tblLook w:val="04A0"/>
      </w:tblPr>
      <w:tblGrid>
        <w:gridCol w:w="3338"/>
        <w:gridCol w:w="2448"/>
        <w:gridCol w:w="1005"/>
        <w:gridCol w:w="2448"/>
      </w:tblGrid>
      <w:tr w:rsidR="00187BAB" w:rsidRPr="00C85A62" w:rsidTr="00E20910"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Univariate analysis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i/>
                <w:snapToGrid w:val="0"/>
                <w:sz w:val="24"/>
                <w:szCs w:val="20"/>
              </w:rPr>
              <w:t>P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value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Multivariate analysis</w:t>
            </w: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OR (95% CI)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OR (95% CI)</w:t>
            </w: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Infection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3.272 (1.075, 9.959)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0.037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5.271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(1.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16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8, 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23.784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)</w:t>
            </w: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PT-INR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6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498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15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234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0.04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8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COSSH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-ACLF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II score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4.781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.2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5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8, 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12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312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18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Δ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PT-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INR (2W)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 (0.0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02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, 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056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ΔNEU% (2W)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0.001 (0.00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, 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13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6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ΔMELD 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score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(2W)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0.008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00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2, 0.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036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0.001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006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002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, 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13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9)</w:t>
            </w:r>
          </w:p>
        </w:tc>
      </w:tr>
      <w:tr w:rsidR="00187BAB" w:rsidRPr="00C85A62" w:rsidTr="00E20910"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ΔCOSSH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-ACLF 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II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score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(2W)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0.001 (0.000, 0.011</w:t>
            </w: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C85A62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BAB" w:rsidRPr="00C85A62" w:rsidRDefault="00187BA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</w:tbl>
    <w:p w:rsidR="00187BAB" w:rsidRPr="00C85A62" w:rsidRDefault="00187BAB" w:rsidP="00187BA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C85A62">
        <w:rPr>
          <w:rFonts w:ascii="Times New Roman" w:eastAsia="宋体" w:hAnsi="Times New Roman" w:cs="Times New Roman"/>
          <w:color w:val="000000"/>
          <w:sz w:val="24"/>
          <w:szCs w:val="21"/>
        </w:rPr>
        <w:t>OR: odds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ratio; CI: confidence interval; </w:t>
      </w:r>
      <w:r w:rsidRPr="00046969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prothrombin time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INR, </w:t>
      </w:r>
      <w:r w:rsidRPr="00827E59">
        <w:rPr>
          <w:rFonts w:ascii="Times New Roman" w:hAnsi="Times New Roman" w:cs="Times New Roman"/>
          <w:sz w:val="24"/>
          <w:szCs w:val="24"/>
        </w:rPr>
        <w:t>international normalized ratio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169D2">
        <w:rPr>
          <w:rFonts w:ascii="Times New Roman" w:eastAsia="宋体" w:hAnsi="Times New Roman" w:cs="Times New Roman"/>
          <w:color w:val="000000"/>
          <w:sz w:val="24"/>
          <w:szCs w:val="21"/>
        </w:rPr>
        <w:t>NEU, neutrophil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MELD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model for end-stage liver disease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COSSH-ACLF</w:t>
      </w:r>
      <w:r w:rsidRPr="00BC21EA">
        <w:rPr>
          <w:rFonts w:ascii="Times New Roman" w:hAnsi="Times New Roman" w:cs="Times New Roman"/>
          <w:sz w:val="24"/>
          <w:szCs w:val="24"/>
        </w:rPr>
        <w:t>, Chinese Group on the Study of Severe Hepatitis B</w:t>
      </w:r>
      <w:r>
        <w:rPr>
          <w:rFonts w:ascii="Times New Roman" w:hAnsi="Times New Roman" w:cs="Times New Roman"/>
          <w:sz w:val="24"/>
          <w:szCs w:val="24"/>
        </w:rPr>
        <w:t>-Acute-on-Chronic Liver Failure.</w:t>
      </w:r>
    </w:p>
    <w:p w:rsidR="005524DC" w:rsidRDefault="005524DC"/>
    <w:sectPr w:rsidR="005524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87BAB"/>
    <w:rsid w:val="00187BAB"/>
    <w:rsid w:val="0055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2023-01-03T23:28:00Z</dcterms:created>
  <dcterms:modified xsi:type="dcterms:W3CDTF">2023-01-03T23:28:00Z</dcterms:modified>
</cp:coreProperties>
</file>