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1F09C8" w14:textId="77777777" w:rsidR="0042341E" w:rsidRPr="00252A92" w:rsidRDefault="0042341E" w:rsidP="0042341E">
      <w:pPr>
        <w:rPr>
          <w:rFonts w:ascii="Times New Roman" w:hAnsi="Times New Roman"/>
          <w:b/>
          <w:bCs/>
          <w:noProof/>
          <w:sz w:val="22"/>
          <w:szCs w:val="22"/>
        </w:rPr>
      </w:pPr>
      <w:r w:rsidRPr="00252A92">
        <w:rPr>
          <w:rFonts w:ascii="Times New Roman" w:hAnsi="Times New Roman"/>
          <w:b/>
          <w:bCs/>
          <w:noProof/>
          <w:sz w:val="22"/>
          <w:szCs w:val="22"/>
        </w:rPr>
        <w:t xml:space="preserve">Supplementary Table </w:t>
      </w:r>
      <w:r w:rsidRPr="00252A92">
        <w:rPr>
          <w:rFonts w:ascii="Times New Roman" w:hAnsi="Times New Roman" w:hint="eastAsia"/>
          <w:b/>
          <w:bCs/>
          <w:noProof/>
          <w:sz w:val="22"/>
          <w:szCs w:val="22"/>
        </w:rPr>
        <w:t>3</w:t>
      </w:r>
      <w:r w:rsidRPr="00252A92">
        <w:rPr>
          <w:rFonts w:ascii="Times New Roman" w:hAnsi="Times New Roman"/>
          <w:b/>
          <w:bCs/>
          <w:noProof/>
          <w:sz w:val="22"/>
          <w:szCs w:val="22"/>
        </w:rPr>
        <w:t>. Characteristics of the patients for flow cytometry</w:t>
      </w:r>
      <w:r w:rsidRPr="00252A92">
        <w:rPr>
          <w:rFonts w:ascii="Times New Roman" w:hAnsi="Times New Roman" w:hint="eastAsia"/>
          <w:b/>
          <w:bCs/>
          <w:noProof/>
          <w:sz w:val="22"/>
          <w:szCs w:val="22"/>
        </w:rPr>
        <w:t xml:space="preserve"> </w:t>
      </w:r>
      <w:r w:rsidRPr="00252A92">
        <w:rPr>
          <w:rFonts w:ascii="Times New Roman" w:hAnsi="Times New Roman"/>
          <w:b/>
          <w:bCs/>
          <w:noProof/>
          <w:sz w:val="22"/>
          <w:szCs w:val="22"/>
        </w:rPr>
        <w:t>analysis.</w:t>
      </w:r>
    </w:p>
    <w:tbl>
      <w:tblPr>
        <w:tblW w:w="9979" w:type="dxa"/>
        <w:jc w:val="center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4111"/>
        <w:gridCol w:w="2413"/>
        <w:gridCol w:w="2123"/>
        <w:gridCol w:w="1332"/>
      </w:tblGrid>
      <w:tr w:rsidR="0042341E" w:rsidRPr="00252A92" w14:paraId="2BFBAFA0" w14:textId="77777777" w:rsidTr="007C3083">
        <w:trPr>
          <w:jc w:val="center"/>
        </w:trPr>
        <w:tc>
          <w:tcPr>
            <w:tcW w:w="4111" w:type="dxa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3C7268F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1EFAD0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Cured (n =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12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14:paraId="7188E69C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Uncured (n =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16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33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03E1D7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i/>
                <w:iCs/>
                <w:kern w:val="0"/>
                <w:sz w:val="22"/>
                <w:szCs w:val="22"/>
              </w:rPr>
              <w:t>p.value</w:t>
            </w:r>
          </w:p>
        </w:tc>
      </w:tr>
      <w:tr w:rsidR="0042341E" w:rsidRPr="00252A92" w14:paraId="533D6E31" w14:textId="77777777" w:rsidTr="007C3083">
        <w:trPr>
          <w:jc w:val="center"/>
        </w:trPr>
        <w:tc>
          <w:tcPr>
            <w:tcW w:w="4111" w:type="dxa"/>
            <w:tcBorders>
              <w:top w:val="single" w:sz="4" w:space="0" w:color="auto"/>
              <w:right w:val="nil"/>
            </w:tcBorders>
            <w:vAlign w:val="center"/>
          </w:tcPr>
          <w:p w14:paraId="718D61A4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Age (Year)</w:t>
            </w:r>
          </w:p>
        </w:tc>
        <w:tc>
          <w:tcPr>
            <w:tcW w:w="2413" w:type="dxa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57E7CC95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4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4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(3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4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-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49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2123" w:type="dxa"/>
            <w:tcBorders>
              <w:top w:val="single" w:sz="4" w:space="0" w:color="auto"/>
              <w:left w:val="nil"/>
            </w:tcBorders>
            <w:vAlign w:val="center"/>
          </w:tcPr>
          <w:p w14:paraId="72A061A4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41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(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38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-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43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332" w:type="dxa"/>
            <w:tcBorders>
              <w:top w:val="single" w:sz="4" w:space="0" w:color="auto"/>
            </w:tcBorders>
            <w:vAlign w:val="center"/>
          </w:tcPr>
          <w:p w14:paraId="0DCED7E7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0.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78</w:t>
            </w:r>
          </w:p>
        </w:tc>
      </w:tr>
      <w:tr w:rsidR="0042341E" w:rsidRPr="00252A92" w14:paraId="12562A28" w14:textId="77777777" w:rsidTr="007C3083">
        <w:trPr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76B92D42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Male, n (%)</w:t>
            </w:r>
          </w:p>
        </w:tc>
        <w:tc>
          <w:tcPr>
            <w:tcW w:w="2413" w:type="dxa"/>
            <w:tcBorders>
              <w:left w:val="nil"/>
              <w:right w:val="nil"/>
            </w:tcBorders>
            <w:vAlign w:val="center"/>
          </w:tcPr>
          <w:p w14:paraId="390A268D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12 (100)</w:t>
            </w:r>
          </w:p>
        </w:tc>
        <w:tc>
          <w:tcPr>
            <w:tcW w:w="2123" w:type="dxa"/>
            <w:tcBorders>
              <w:left w:val="nil"/>
            </w:tcBorders>
            <w:vAlign w:val="center"/>
          </w:tcPr>
          <w:p w14:paraId="5575C683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12 (75)</w:t>
            </w:r>
          </w:p>
        </w:tc>
        <w:tc>
          <w:tcPr>
            <w:tcW w:w="1332" w:type="dxa"/>
            <w:vAlign w:val="center"/>
          </w:tcPr>
          <w:p w14:paraId="224D80E2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hAnsi="Times New Roman" w:cs="Times New Roman" w:hint="eastAsia"/>
                <w:kern w:val="0"/>
                <w:sz w:val="22"/>
                <w:szCs w:val="22"/>
                <w:lang w:bidi="ar"/>
              </w:rPr>
              <w:t>0.11</w:t>
            </w:r>
          </w:p>
        </w:tc>
      </w:tr>
      <w:tr w:rsidR="0042341E" w:rsidRPr="00252A92" w14:paraId="5590A455" w14:textId="77777777" w:rsidTr="007C3083">
        <w:trPr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0E9C0206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Baseline HBsAg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(IU/mL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)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  <w:vertAlign w:val="superscript"/>
              </w:rPr>
              <w:t>#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413" w:type="dxa"/>
            <w:tcBorders>
              <w:left w:val="nil"/>
              <w:right w:val="nil"/>
            </w:tcBorders>
            <w:vAlign w:val="center"/>
          </w:tcPr>
          <w:p w14:paraId="12064A38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215.6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(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32.4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-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398.3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2123" w:type="dxa"/>
            <w:tcBorders>
              <w:left w:val="nil"/>
            </w:tcBorders>
            <w:vAlign w:val="center"/>
          </w:tcPr>
          <w:p w14:paraId="1659F600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352.5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(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85.1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-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695.6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332" w:type="dxa"/>
            <w:vAlign w:val="center"/>
          </w:tcPr>
          <w:p w14:paraId="143F258F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0.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09</w:t>
            </w:r>
          </w:p>
        </w:tc>
      </w:tr>
      <w:tr w:rsidR="0042341E" w:rsidRPr="00252A92" w14:paraId="0A4A068F" w14:textId="77777777" w:rsidTr="007C3083">
        <w:trPr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28FD325D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Baseline HBeAg seroconversion, n (%)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  <w:vertAlign w:val="superscript"/>
              </w:rPr>
              <w:t>#</w:t>
            </w:r>
          </w:p>
        </w:tc>
        <w:tc>
          <w:tcPr>
            <w:tcW w:w="2413" w:type="dxa"/>
            <w:tcBorders>
              <w:left w:val="nil"/>
              <w:right w:val="nil"/>
            </w:tcBorders>
            <w:vAlign w:val="center"/>
          </w:tcPr>
          <w:p w14:paraId="1481D954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12 (100)</w:t>
            </w:r>
          </w:p>
        </w:tc>
        <w:tc>
          <w:tcPr>
            <w:tcW w:w="2123" w:type="dxa"/>
            <w:tcBorders>
              <w:left w:val="nil"/>
            </w:tcBorders>
            <w:vAlign w:val="center"/>
          </w:tcPr>
          <w:p w14:paraId="547B2030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16 (100)</w:t>
            </w:r>
          </w:p>
        </w:tc>
        <w:tc>
          <w:tcPr>
            <w:tcW w:w="1332" w:type="dxa"/>
            <w:vAlign w:val="center"/>
          </w:tcPr>
          <w:p w14:paraId="128EC5E1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&gt;0.99</w:t>
            </w:r>
          </w:p>
        </w:tc>
      </w:tr>
      <w:tr w:rsidR="0042341E" w:rsidRPr="00252A92" w14:paraId="2494E903" w14:textId="77777777" w:rsidTr="007C3083">
        <w:trPr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54EA49CE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Baseline HBV DNA clearance, n (%)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  <w:vertAlign w:val="superscript"/>
              </w:rPr>
              <w:t>#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2413" w:type="dxa"/>
            <w:tcBorders>
              <w:left w:val="nil"/>
              <w:right w:val="nil"/>
            </w:tcBorders>
            <w:vAlign w:val="center"/>
          </w:tcPr>
          <w:p w14:paraId="3B1E43F8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12 (100)</w:t>
            </w:r>
          </w:p>
        </w:tc>
        <w:tc>
          <w:tcPr>
            <w:tcW w:w="2123" w:type="dxa"/>
            <w:tcBorders>
              <w:left w:val="nil"/>
            </w:tcBorders>
            <w:vAlign w:val="center"/>
          </w:tcPr>
          <w:p w14:paraId="13225CA9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16 (100)</w:t>
            </w:r>
          </w:p>
        </w:tc>
        <w:tc>
          <w:tcPr>
            <w:tcW w:w="1332" w:type="dxa"/>
            <w:vAlign w:val="center"/>
          </w:tcPr>
          <w:p w14:paraId="28497186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0.99</w:t>
            </w:r>
          </w:p>
        </w:tc>
      </w:tr>
      <w:tr w:rsidR="0042341E" w:rsidRPr="00252A92" w14:paraId="5F46C106" w14:textId="77777777" w:rsidTr="007C3083">
        <w:trPr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7FBBEEEE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Baseline ALT (U/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L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) 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  <w:vertAlign w:val="superscript"/>
              </w:rPr>
              <w:t xml:space="preserve"># </w:t>
            </w:r>
          </w:p>
        </w:tc>
        <w:tc>
          <w:tcPr>
            <w:tcW w:w="2413" w:type="dxa"/>
            <w:tcBorders>
              <w:left w:val="nil"/>
              <w:right w:val="nil"/>
            </w:tcBorders>
            <w:vAlign w:val="center"/>
          </w:tcPr>
          <w:p w14:paraId="67CA0E4E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28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(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25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-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47.3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2123" w:type="dxa"/>
            <w:tcBorders>
              <w:left w:val="nil"/>
            </w:tcBorders>
            <w:vAlign w:val="center"/>
          </w:tcPr>
          <w:p w14:paraId="4D93AB44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19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(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14.5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-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37.3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)</w:t>
            </w:r>
          </w:p>
        </w:tc>
        <w:tc>
          <w:tcPr>
            <w:tcW w:w="1332" w:type="dxa"/>
            <w:vAlign w:val="center"/>
          </w:tcPr>
          <w:p w14:paraId="351E1CE1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0.186</w:t>
            </w:r>
          </w:p>
        </w:tc>
      </w:tr>
      <w:tr w:rsidR="0042341E" w:rsidRPr="00252A92" w14:paraId="760A2CB7" w14:textId="77777777" w:rsidTr="007C3083">
        <w:trPr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3867E27D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HBsAg at sampling (IU/mL)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13" w:type="dxa"/>
            <w:tcBorders>
              <w:left w:val="nil"/>
              <w:right w:val="nil"/>
            </w:tcBorders>
            <w:vAlign w:val="center"/>
          </w:tcPr>
          <w:p w14:paraId="0468B10D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eastAsia="SimHei" w:hAnsi="Times New Roman" w:cs="Times New Roman"/>
                <w:kern w:val="24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0.05</w:t>
            </w:r>
          </w:p>
        </w:tc>
        <w:tc>
          <w:tcPr>
            <w:tcW w:w="2123" w:type="dxa"/>
            <w:tcBorders>
              <w:left w:val="nil"/>
            </w:tcBorders>
            <w:vAlign w:val="center"/>
          </w:tcPr>
          <w:p w14:paraId="3F5CF8D2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eastAsia="SimHei" w:hAnsi="Times New Roman" w:cs="Times New Roman"/>
                <w:kern w:val="24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149.6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(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14.8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-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262.3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332" w:type="dxa"/>
            <w:vAlign w:val="center"/>
          </w:tcPr>
          <w:p w14:paraId="6CC2537F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eastAsia="SimHei" w:hAnsi="Times New Roman" w:cs="Times New Roman"/>
                <w:kern w:val="24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&lt;0.01</w:t>
            </w:r>
          </w:p>
        </w:tc>
      </w:tr>
      <w:tr w:rsidR="0042341E" w:rsidRPr="00252A92" w14:paraId="6F4A20C9" w14:textId="77777777" w:rsidTr="007C3083">
        <w:trPr>
          <w:jc w:val="center"/>
        </w:trPr>
        <w:tc>
          <w:tcPr>
            <w:tcW w:w="4111" w:type="dxa"/>
            <w:tcBorders>
              <w:right w:val="nil"/>
            </w:tcBorders>
            <w:vAlign w:val="center"/>
          </w:tcPr>
          <w:p w14:paraId="7F6252CD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rPr>
                <w:rFonts w:ascii="Times New Roman" w:eastAsia="DengXian" w:hAnsi="Times New Roman" w:cs="Times New Roman"/>
                <w:color w:val="EE0000"/>
                <w:kern w:val="0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/>
                <w:color w:val="EE0000"/>
                <w:kern w:val="0"/>
                <w:sz w:val="22"/>
                <w:szCs w:val="22"/>
              </w:rPr>
              <w:t>PEG-IFNα treatment and follow-up duration at the time of blood sampling (weeks)</w:t>
            </w:r>
          </w:p>
        </w:tc>
        <w:tc>
          <w:tcPr>
            <w:tcW w:w="2413" w:type="dxa"/>
            <w:tcBorders>
              <w:left w:val="nil"/>
              <w:right w:val="nil"/>
            </w:tcBorders>
            <w:vAlign w:val="center"/>
          </w:tcPr>
          <w:p w14:paraId="7A0F7915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 w:hint="eastAsia"/>
                <w:color w:val="EE0000"/>
                <w:kern w:val="0"/>
                <w:sz w:val="22"/>
                <w:szCs w:val="22"/>
              </w:rPr>
              <w:t>42 (27 - 63)</w:t>
            </w:r>
            <w:r w:rsidRPr="00252A92">
              <w:rPr>
                <w:rFonts w:ascii="Times New Roman" w:eastAsia="DengXian" w:hAnsi="Times New Roman" w:cs="Times New Roman" w:hint="eastAsia"/>
                <w:color w:val="EE0000"/>
                <w:kern w:val="0"/>
                <w:sz w:val="22"/>
                <w:szCs w:val="22"/>
                <w:vertAlign w:val="superscript"/>
              </w:rPr>
              <w:t xml:space="preserve"> </w:t>
            </w:r>
            <w:r w:rsidRPr="00252A92">
              <w:rPr>
                <w:rFonts w:ascii="Times New Roman" w:eastAsia="DengXian" w:hAnsi="Times New Roman" w:cs="Times New Roman"/>
                <w:color w:val="EE0000"/>
                <w:kern w:val="0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2123" w:type="dxa"/>
            <w:tcBorders>
              <w:left w:val="nil"/>
            </w:tcBorders>
            <w:vAlign w:val="center"/>
          </w:tcPr>
          <w:p w14:paraId="3EA50926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 w:hint="eastAsia"/>
                <w:color w:val="EE0000"/>
                <w:kern w:val="0"/>
                <w:sz w:val="22"/>
                <w:szCs w:val="22"/>
              </w:rPr>
              <w:t>96</w:t>
            </w:r>
            <w:r w:rsidRPr="00252A92">
              <w:rPr>
                <w:rFonts w:ascii="DengXian" w:eastAsia="DengXian" w:hAnsi="DengXian" w:cs="Times New Roman" w:hint="eastAsia"/>
                <w:color w:val="EE0000"/>
                <w:kern w:val="0"/>
                <w:sz w:val="22"/>
                <w:szCs w:val="22"/>
                <w:vertAlign w:val="superscript"/>
              </w:rPr>
              <w:t>※</w:t>
            </w:r>
          </w:p>
        </w:tc>
        <w:tc>
          <w:tcPr>
            <w:tcW w:w="1332" w:type="dxa"/>
            <w:vAlign w:val="center"/>
          </w:tcPr>
          <w:p w14:paraId="5C5CCDA5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eastAsia="DengXian" w:hAnsi="Times New Roman" w:cs="Times New Roman"/>
                <w:color w:val="EE0000"/>
                <w:kern w:val="0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 w:hint="eastAsia"/>
                <w:color w:val="EE0000"/>
                <w:kern w:val="0"/>
                <w:sz w:val="22"/>
                <w:szCs w:val="22"/>
              </w:rPr>
              <w:t>-</w:t>
            </w:r>
          </w:p>
        </w:tc>
      </w:tr>
      <w:tr w:rsidR="0042341E" w:rsidRPr="00252A92" w14:paraId="4430C262" w14:textId="77777777" w:rsidTr="007C3083">
        <w:trPr>
          <w:jc w:val="center"/>
        </w:trPr>
        <w:tc>
          <w:tcPr>
            <w:tcW w:w="4111" w:type="dxa"/>
            <w:tcBorders>
              <w:top w:val="nil"/>
              <w:bottom w:val="nil"/>
              <w:right w:val="nil"/>
            </w:tcBorders>
            <w:vAlign w:val="center"/>
          </w:tcPr>
          <w:p w14:paraId="09D8A3CD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bookmarkStart w:id="0" w:name="OLE_LINK16"/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ALT at sampl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ing</w:t>
            </w:r>
            <w:r w:rsidRPr="00252A92" w:rsidDel="00D15C34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(U/L)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  <w:vertAlign w:val="superscript"/>
              </w:rPr>
              <w:t>*</w:t>
            </w:r>
            <w:bookmarkEnd w:id="0"/>
          </w:p>
        </w:tc>
        <w:tc>
          <w:tcPr>
            <w:tcW w:w="241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10AEC9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51.0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(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46.0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-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96.0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）</w:t>
            </w:r>
          </w:p>
        </w:tc>
        <w:tc>
          <w:tcPr>
            <w:tcW w:w="2123" w:type="dxa"/>
            <w:tcBorders>
              <w:top w:val="nil"/>
              <w:left w:val="nil"/>
              <w:bottom w:val="nil"/>
            </w:tcBorders>
            <w:vAlign w:val="center"/>
          </w:tcPr>
          <w:p w14:paraId="360E4184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40.0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(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32.5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-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97.3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)</w:t>
            </w:r>
          </w:p>
        </w:tc>
        <w:tc>
          <w:tcPr>
            <w:tcW w:w="1332" w:type="dxa"/>
            <w:vAlign w:val="center"/>
          </w:tcPr>
          <w:p w14:paraId="5BF43F64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hAnsi="Times New Roman" w:cs="Times New Roman"/>
                <w:kern w:val="0"/>
                <w:sz w:val="22"/>
                <w:szCs w:val="22"/>
                <w:lang w:bidi="ar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0.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70</w:t>
            </w:r>
          </w:p>
        </w:tc>
      </w:tr>
      <w:tr w:rsidR="0042341E" w:rsidRPr="00252A92" w14:paraId="55CF1B74" w14:textId="77777777" w:rsidTr="007C3083">
        <w:trPr>
          <w:jc w:val="center"/>
        </w:trPr>
        <w:tc>
          <w:tcPr>
            <w:tcW w:w="4111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1D9E0863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A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S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T at sampl</w:t>
            </w: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ing</w:t>
            </w:r>
            <w:r w:rsidRPr="00252A92" w:rsidDel="00D15C34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 xml:space="preserve"> 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  <w:t>(U/L)</w:t>
            </w:r>
            <w:r w:rsidRPr="00252A92">
              <w:rPr>
                <w:rFonts w:ascii="Times New Roman" w:eastAsia="DengXian" w:hAnsi="Times New Roman" w:cs="Times New Roman"/>
                <w:kern w:val="0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41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2B48F30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51.0 (36.0 - 68.0)</w:t>
            </w:r>
          </w:p>
        </w:tc>
        <w:tc>
          <w:tcPr>
            <w:tcW w:w="2123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3E5FA61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46.0 (33.8 - 71.5)</w:t>
            </w:r>
          </w:p>
        </w:tc>
        <w:tc>
          <w:tcPr>
            <w:tcW w:w="1332" w:type="dxa"/>
            <w:tcBorders>
              <w:bottom w:val="single" w:sz="4" w:space="0" w:color="auto"/>
            </w:tcBorders>
            <w:vAlign w:val="center"/>
          </w:tcPr>
          <w:p w14:paraId="58C34230" w14:textId="77777777" w:rsidR="0042341E" w:rsidRPr="00252A92" w:rsidRDefault="0042341E" w:rsidP="007C3083">
            <w:pPr>
              <w:pStyle w:val="EndNoteBibliography"/>
              <w:spacing w:before="50" w:after="50" w:line="480" w:lineRule="auto"/>
              <w:jc w:val="center"/>
              <w:rPr>
                <w:rFonts w:ascii="Times New Roman" w:eastAsia="DengXian" w:hAnsi="Times New Roman" w:cs="Times New Roman"/>
                <w:kern w:val="0"/>
                <w:sz w:val="22"/>
                <w:szCs w:val="22"/>
              </w:rPr>
            </w:pPr>
            <w:r w:rsidRPr="00252A92">
              <w:rPr>
                <w:rFonts w:ascii="Times New Roman" w:eastAsia="DengXian" w:hAnsi="Times New Roman" w:cs="Times New Roman" w:hint="eastAsia"/>
                <w:kern w:val="0"/>
                <w:sz w:val="22"/>
                <w:szCs w:val="22"/>
              </w:rPr>
              <w:t>0.80</w:t>
            </w:r>
          </w:p>
        </w:tc>
      </w:tr>
    </w:tbl>
    <w:p w14:paraId="055D2030" w14:textId="77777777" w:rsidR="0042341E" w:rsidRPr="00252A92" w:rsidRDefault="0042341E" w:rsidP="0042341E">
      <w:pPr>
        <w:pStyle w:val="EndNoteBibliography"/>
        <w:spacing w:line="480" w:lineRule="auto"/>
        <w:rPr>
          <w:rFonts w:ascii="Times New Roman" w:hAnsi="Times New Roman"/>
          <w:kern w:val="0"/>
          <w:sz w:val="22"/>
          <w:szCs w:val="22"/>
          <w:lang w:bidi="ar"/>
        </w:rPr>
      </w:pPr>
      <w:r w:rsidRPr="00252A92">
        <w:rPr>
          <w:rFonts w:ascii="Times New Roman" w:hAnsi="Times New Roman" w:hint="eastAsia"/>
          <w:kern w:val="0"/>
          <w:sz w:val="22"/>
          <w:szCs w:val="22"/>
          <w:lang w:bidi="ar"/>
        </w:rPr>
        <w:t>Median (IQR)</w:t>
      </w:r>
    </w:p>
    <w:p w14:paraId="60A88C41" w14:textId="77777777" w:rsidR="0042341E" w:rsidRPr="00252A92" w:rsidRDefault="0042341E" w:rsidP="0042341E">
      <w:pPr>
        <w:pStyle w:val="EndNoteBibliography"/>
        <w:spacing w:line="480" w:lineRule="auto"/>
        <w:rPr>
          <w:rFonts w:ascii="Times New Roman" w:hAnsi="Times New Roman"/>
          <w:kern w:val="0"/>
          <w:sz w:val="22"/>
          <w:szCs w:val="22"/>
          <w:lang w:bidi="ar"/>
        </w:rPr>
      </w:pPr>
      <w:r w:rsidRPr="00252A92">
        <w:rPr>
          <w:rFonts w:ascii="Times New Roman" w:hAnsi="Times New Roman" w:hint="eastAsia"/>
          <w:kern w:val="0"/>
          <w:sz w:val="22"/>
          <w:szCs w:val="22"/>
          <w:lang w:bidi="ar"/>
        </w:rPr>
        <w:t># Represent the HBsAg level, HBeAg, HBV DNA and ALT at the time of</w:t>
      </w:r>
      <w:r w:rsidRPr="00252A92">
        <w:rPr>
          <w:rFonts w:ascii="Times New Roman" w:hAnsi="Times New Roman" w:cs="Times New Roman"/>
          <w:kern w:val="0"/>
          <w:sz w:val="22"/>
          <w:szCs w:val="22"/>
          <w:lang w:bidi="ar"/>
        </w:rPr>
        <w:t xml:space="preserve"> PEG-IFNα.</w:t>
      </w:r>
    </w:p>
    <w:p w14:paraId="3D198A02" w14:textId="77777777" w:rsidR="0042341E" w:rsidRPr="00252A92" w:rsidRDefault="0042341E" w:rsidP="0042341E">
      <w:pPr>
        <w:pStyle w:val="EndNoteBibliography"/>
        <w:spacing w:line="480" w:lineRule="auto"/>
        <w:rPr>
          <w:rFonts w:ascii="Times New Roman" w:hAnsi="Times New Roman"/>
          <w:kern w:val="0"/>
          <w:sz w:val="22"/>
          <w:szCs w:val="22"/>
          <w:lang w:bidi="ar"/>
        </w:rPr>
      </w:pPr>
      <w:r w:rsidRPr="00252A92">
        <w:rPr>
          <w:rFonts w:ascii="Times New Roman" w:hAnsi="Times New Roman" w:hint="eastAsia"/>
          <w:kern w:val="0"/>
          <w:sz w:val="22"/>
          <w:szCs w:val="22"/>
          <w:lang w:bidi="ar"/>
        </w:rPr>
        <w:t>* Represent the HBsAg level and ALT at the time of sample collection.</w:t>
      </w:r>
    </w:p>
    <w:p w14:paraId="17D033E3" w14:textId="77777777" w:rsidR="0042341E" w:rsidRPr="00252A92" w:rsidRDefault="0042341E" w:rsidP="0042341E">
      <w:pPr>
        <w:pStyle w:val="EndNoteBibliography"/>
        <w:spacing w:line="480" w:lineRule="auto"/>
        <w:rPr>
          <w:rFonts w:ascii="Times New Roman" w:hAnsi="Times New Roman" w:cs="Times New Roman"/>
          <w:color w:val="EE0000"/>
          <w:kern w:val="0"/>
          <w:sz w:val="22"/>
          <w:szCs w:val="22"/>
          <w:lang w:bidi="ar"/>
        </w:rPr>
      </w:pPr>
      <w:r w:rsidRPr="00252A92">
        <w:rPr>
          <w:rFonts w:ascii="Times New Roman" w:hAnsi="Times New Roman" w:cs="Times New Roman"/>
          <w:color w:val="EE0000"/>
          <w:kern w:val="0"/>
          <w:sz w:val="22"/>
          <w:szCs w:val="22"/>
          <w:vertAlign w:val="superscript"/>
          <w:lang w:bidi="ar"/>
        </w:rPr>
        <w:t>†</w:t>
      </w:r>
      <w:r w:rsidRPr="00252A92">
        <w:rPr>
          <w:rFonts w:ascii="Times New Roman" w:hAnsi="Times New Roman" w:cs="Times New Roman" w:hint="eastAsia"/>
          <w:color w:val="EE0000"/>
          <w:kern w:val="0"/>
          <w:sz w:val="22"/>
          <w:szCs w:val="22"/>
          <w:lang w:bidi="ar"/>
        </w:rPr>
        <w:t xml:space="preserve"> </w:t>
      </w:r>
      <w:r w:rsidRPr="00252A92">
        <w:rPr>
          <w:rFonts w:ascii="Times New Roman" w:hAnsi="Times New Roman" w:cs="Times New Roman"/>
          <w:color w:val="EE0000"/>
          <w:kern w:val="0"/>
          <w:sz w:val="22"/>
          <w:szCs w:val="22"/>
          <w:lang w:bidi="ar"/>
        </w:rPr>
        <w:t>Blood samples from the cured group were collected when HBsAg loss was first documented, with or without anti-HBs seroconversion.</w:t>
      </w:r>
    </w:p>
    <w:p w14:paraId="2963580B" w14:textId="77777777" w:rsidR="0042341E" w:rsidRPr="00252A92" w:rsidRDefault="0042341E" w:rsidP="0042341E">
      <w:pPr>
        <w:pStyle w:val="EndNoteBibliography"/>
        <w:spacing w:line="480" w:lineRule="auto"/>
        <w:rPr>
          <w:rFonts w:ascii="Times New Roman" w:hAnsi="Times New Roman" w:cs="Times New Roman"/>
          <w:color w:val="EE0000"/>
          <w:kern w:val="0"/>
          <w:sz w:val="22"/>
          <w:szCs w:val="22"/>
          <w:lang w:bidi="ar"/>
        </w:rPr>
      </w:pPr>
      <w:r w:rsidRPr="00252A92">
        <w:rPr>
          <w:rFonts w:ascii="SimSun" w:hAnsi="SimSun" w:cs="Times New Roman" w:hint="eastAsia"/>
          <w:color w:val="EE0000"/>
          <w:kern w:val="0"/>
          <w:sz w:val="22"/>
          <w:szCs w:val="22"/>
          <w:vertAlign w:val="superscript"/>
          <w:lang w:bidi="ar"/>
        </w:rPr>
        <w:t>※</w:t>
      </w:r>
      <w:r w:rsidRPr="00252A92">
        <w:rPr>
          <w:rFonts w:ascii="Times New Roman" w:hAnsi="Times New Roman" w:cs="Times New Roman" w:hint="eastAsia"/>
          <w:color w:val="EE0000"/>
          <w:kern w:val="0"/>
          <w:sz w:val="22"/>
          <w:szCs w:val="22"/>
          <w:lang w:bidi="ar"/>
        </w:rPr>
        <w:t xml:space="preserve"> Patients</w:t>
      </w:r>
      <w:r w:rsidRPr="00252A92">
        <w:rPr>
          <w:rFonts w:ascii="Times New Roman" w:hAnsi="Times New Roman" w:cs="Times New Roman"/>
          <w:color w:val="EE0000"/>
          <w:kern w:val="0"/>
          <w:sz w:val="22"/>
          <w:szCs w:val="22"/>
          <w:lang w:bidi="ar"/>
        </w:rPr>
        <w:t xml:space="preserve"> in the </w:t>
      </w:r>
      <w:r w:rsidRPr="00252A92">
        <w:rPr>
          <w:rFonts w:ascii="Times New Roman" w:hAnsi="Times New Roman" w:cs="Times New Roman" w:hint="eastAsia"/>
          <w:color w:val="EE0000"/>
          <w:kern w:val="0"/>
          <w:sz w:val="22"/>
          <w:szCs w:val="22"/>
          <w:lang w:bidi="ar"/>
        </w:rPr>
        <w:t>un</w:t>
      </w:r>
      <w:r w:rsidRPr="00252A92">
        <w:rPr>
          <w:rFonts w:ascii="Times New Roman" w:hAnsi="Times New Roman" w:cs="Times New Roman"/>
          <w:color w:val="EE0000"/>
          <w:kern w:val="0"/>
          <w:sz w:val="22"/>
          <w:szCs w:val="22"/>
          <w:lang w:bidi="ar"/>
        </w:rPr>
        <w:t>cure</w:t>
      </w:r>
      <w:r w:rsidRPr="00252A92">
        <w:rPr>
          <w:rFonts w:ascii="Times New Roman" w:hAnsi="Times New Roman" w:cs="Times New Roman" w:hint="eastAsia"/>
          <w:color w:val="EE0000"/>
          <w:kern w:val="0"/>
          <w:sz w:val="22"/>
          <w:szCs w:val="22"/>
          <w:lang w:bidi="ar"/>
        </w:rPr>
        <w:t>d</w:t>
      </w:r>
      <w:r w:rsidRPr="00252A92">
        <w:rPr>
          <w:rFonts w:ascii="Times New Roman" w:hAnsi="Times New Roman" w:cs="Times New Roman"/>
          <w:color w:val="EE0000"/>
          <w:kern w:val="0"/>
          <w:sz w:val="22"/>
          <w:szCs w:val="22"/>
          <w:lang w:bidi="ar"/>
        </w:rPr>
        <w:t xml:space="preserve"> group received standard treatment and were followed up to 96 weeks without achieving HBsAg clearance.</w:t>
      </w:r>
    </w:p>
    <w:p w14:paraId="42353C0E" w14:textId="77777777" w:rsidR="0067415F" w:rsidRDefault="0067415F"/>
    <w:sectPr w:rsidR="0067415F" w:rsidSect="0042341E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ËÎÌå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µÈÏß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imHei">
    <w:altName w:val="ºÚÌå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3F"/>
    <w:rsid w:val="0042341E"/>
    <w:rsid w:val="004244E6"/>
    <w:rsid w:val="004D363F"/>
    <w:rsid w:val="0067415F"/>
    <w:rsid w:val="009B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80D802-D014-46A9-9E46-F206DEC0B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363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36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363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363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363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363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363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363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363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36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36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363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363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363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363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363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363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363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363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36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363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363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363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363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363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363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36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363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363F"/>
    <w:rPr>
      <w:b/>
      <w:bCs/>
      <w:smallCaps/>
      <w:color w:val="2F5496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0"/>
    <w:qFormat/>
    <w:rsid w:val="0042341E"/>
    <w:pPr>
      <w:widowControl w:val="0"/>
      <w:spacing w:after="0" w:line="240" w:lineRule="auto"/>
      <w:jc w:val="both"/>
    </w:pPr>
    <w:rPr>
      <w:rFonts w:ascii="Calibri" w:eastAsia="SimSun" w:hAnsi="Calibri" w:cs="Calibri"/>
      <w:sz w:val="20"/>
      <w:lang w:eastAsia="zh-CN"/>
      <w14:ligatures w14:val="none"/>
    </w:rPr>
  </w:style>
  <w:style w:type="character" w:customStyle="1" w:styleId="EndNoteBibliography0">
    <w:name w:val="EndNote Bibliography 字符"/>
    <w:link w:val="EndNoteBibliography"/>
    <w:qFormat/>
    <w:rsid w:val="0042341E"/>
    <w:rPr>
      <w:rFonts w:ascii="Calibri" w:eastAsia="SimSun" w:hAnsi="Calibri" w:cs="Calibri"/>
      <w:sz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1003</Characters>
  <Application>Microsoft Office Word</Application>
  <DocSecurity>0</DocSecurity>
  <Lines>8</Lines>
  <Paragraphs>2</Paragraphs>
  <ScaleCrop>false</ScaleCrop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2026-08-11T02:56:00Z</dcterms:created>
  <dcterms:modified xsi:type="dcterms:W3CDTF">2026-08-11T02:56:00Z</dcterms:modified>
</cp:coreProperties>
</file>