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1552" w14:textId="77777777" w:rsidR="007C2963" w:rsidRPr="00252A92" w:rsidRDefault="007C2963" w:rsidP="007C2963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  <w:r w:rsidRPr="00252A92">
        <w:rPr>
          <w:rFonts w:ascii="Times New Roman" w:hAnsi="Times New Roman"/>
          <w:b/>
          <w:bCs/>
          <w:sz w:val="22"/>
          <w:szCs w:val="22"/>
        </w:rPr>
        <w:t xml:space="preserve">Supplementary Table </w:t>
      </w:r>
      <w:r w:rsidRPr="00252A92">
        <w:rPr>
          <w:rFonts w:ascii="Times New Roman" w:hAnsi="Times New Roman" w:hint="eastAsia"/>
          <w:b/>
          <w:bCs/>
          <w:sz w:val="22"/>
          <w:szCs w:val="22"/>
        </w:rPr>
        <w:t>1</w:t>
      </w:r>
      <w:r w:rsidRPr="00252A92">
        <w:rPr>
          <w:rFonts w:ascii="Times New Roman" w:hAnsi="Times New Roman"/>
          <w:b/>
          <w:bCs/>
          <w:sz w:val="22"/>
          <w:szCs w:val="22"/>
        </w:rPr>
        <w:t>. Characteristics of CHB Patients</w:t>
      </w:r>
      <w:r w:rsidRPr="00252A92">
        <w:rPr>
          <w:rFonts w:ascii="Times New Roman" w:hAnsi="Times New Roman" w:hint="eastAsia"/>
          <w:b/>
          <w:bCs/>
          <w:sz w:val="22"/>
          <w:szCs w:val="22"/>
        </w:rPr>
        <w:t xml:space="preserve"> with NAs monotherapy</w:t>
      </w:r>
      <w:r w:rsidRPr="00252A92">
        <w:rPr>
          <w:rFonts w:ascii="Times New Roman" w:hAnsi="Times New Roman"/>
          <w:b/>
          <w:bCs/>
          <w:sz w:val="22"/>
          <w:szCs w:val="22"/>
        </w:rPr>
        <w:t>.</w:t>
      </w:r>
    </w:p>
    <w:tbl>
      <w:tblPr>
        <w:tblStyle w:val="TableGrid"/>
        <w:tblW w:w="9979" w:type="dxa"/>
        <w:jc w:val="center"/>
        <w:tblLook w:val="04A0" w:firstRow="1" w:lastRow="0" w:firstColumn="1" w:lastColumn="0" w:noHBand="0" w:noVBand="1"/>
      </w:tblPr>
      <w:tblGrid>
        <w:gridCol w:w="3410"/>
        <w:gridCol w:w="2827"/>
        <w:gridCol w:w="2460"/>
        <w:gridCol w:w="1282"/>
      </w:tblGrid>
      <w:tr w:rsidR="007C2963" w:rsidRPr="00252A92" w14:paraId="440644E3" w14:textId="77777777" w:rsidTr="007C3083">
        <w:trPr>
          <w:jc w:val="center"/>
        </w:trPr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FDA82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E8067" w14:textId="77777777" w:rsidR="007C2963" w:rsidRPr="00252A92" w:rsidRDefault="007C2963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Low HBsAg (n = 8)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0945C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High HBsAg (n = 9)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F855F4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i/>
                <w:iCs/>
                <w:color w:val="000000"/>
                <w:sz w:val="22"/>
                <w:szCs w:val="22"/>
              </w:rPr>
              <w:t>p.value</w:t>
            </w:r>
          </w:p>
        </w:tc>
      </w:tr>
      <w:tr w:rsidR="007C2963" w:rsidRPr="00252A92" w14:paraId="1C112A30" w14:textId="77777777" w:rsidTr="007C3083">
        <w:trPr>
          <w:jc w:val="center"/>
        </w:trPr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D8ABD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Age (Year)</w:t>
            </w:r>
          </w:p>
        </w:tc>
        <w:tc>
          <w:tcPr>
            <w:tcW w:w="2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03912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39.0 (31.0 - 46.3)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6A3B28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41.0 (34.0 - 42.0)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C62A6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0.855</w:t>
            </w:r>
          </w:p>
        </w:tc>
      </w:tr>
      <w:tr w:rsidR="007C2963" w:rsidRPr="00252A92" w14:paraId="49A5ABA7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2989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Male, n (%)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4C27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6 (75)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056C6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6 (66.7)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C545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hint="eastAsia"/>
                <w:sz w:val="22"/>
                <w:szCs w:val="22"/>
              </w:rPr>
              <w:t>&gt; 0.99</w:t>
            </w:r>
          </w:p>
        </w:tc>
      </w:tr>
      <w:tr w:rsidR="007C2963" w:rsidRPr="00252A92" w14:paraId="7B433992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F95C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HBsAg (IU/mL)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3A81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64.6 (23.3 - 86.0)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638E9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2497.0 (1915.0 - 3725.0)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21883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&lt;0.001</w:t>
            </w:r>
          </w:p>
        </w:tc>
      </w:tr>
      <w:tr w:rsidR="007C2963" w:rsidRPr="00252A92" w14:paraId="67DCC82B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8A07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HBeAg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 xml:space="preserve"> 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seroconversion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, n (%)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00F47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7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 xml:space="preserve"> (87.4)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DD60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7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 xml:space="preserve"> (77.8)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789C2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hint="eastAsia"/>
                <w:sz w:val="22"/>
                <w:szCs w:val="22"/>
              </w:rPr>
              <w:t>&gt; 0.99</w:t>
            </w:r>
          </w:p>
        </w:tc>
      </w:tr>
      <w:tr w:rsidR="007C2963" w:rsidRPr="00252A92" w14:paraId="6EC74F74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FAA8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HBV DNA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 xml:space="preserve"> clearance, n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 xml:space="preserve"> (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%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7BB20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hint="eastAsia"/>
                <w:sz w:val="22"/>
                <w:szCs w:val="22"/>
              </w:rPr>
              <w:t>8 (100)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8807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9 (100)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4060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hint="eastAsia"/>
                <w:sz w:val="22"/>
                <w:szCs w:val="22"/>
              </w:rPr>
              <w:t>&gt; 0.99</w:t>
            </w:r>
          </w:p>
        </w:tc>
      </w:tr>
      <w:tr w:rsidR="007C2963" w:rsidRPr="00252A92" w14:paraId="4A9BFD61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01843" w14:textId="77777777" w:rsidR="007C2963" w:rsidRPr="00252A92" w:rsidRDefault="007C2963" w:rsidP="007C3083">
            <w:pPr>
              <w:spacing w:line="480" w:lineRule="auto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ALT (U/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L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FBDC0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34.0 (25.5 - 51.8)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F2884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19.0 (10.5 - 39.5)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251E1" w14:textId="77777777" w:rsidR="007C2963" w:rsidRPr="00252A92" w:rsidRDefault="007C2963" w:rsidP="007C3083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0.132</w:t>
            </w:r>
          </w:p>
        </w:tc>
      </w:tr>
      <w:tr w:rsidR="007C2963" w:rsidRPr="00252A92" w14:paraId="14EF2585" w14:textId="77777777" w:rsidTr="007C3083">
        <w:trPr>
          <w:jc w:val="center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4781" w14:textId="77777777" w:rsidR="007C2963" w:rsidRPr="00252A92" w:rsidRDefault="007C2963" w:rsidP="007C3083">
            <w:pPr>
              <w:spacing w:line="480" w:lineRule="auto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AST (U/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L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14D5" w14:textId="77777777" w:rsidR="007C2963" w:rsidRPr="00252A92" w:rsidRDefault="007C2963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27.5 (17.3 - 41.0)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D13F" w14:textId="77777777" w:rsidR="007C2963" w:rsidRPr="00252A92" w:rsidRDefault="007C2963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21.0 (17.0 - 26.5)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F3B9F" w14:textId="77777777" w:rsidR="007C2963" w:rsidRPr="00252A92" w:rsidRDefault="007C2963" w:rsidP="007C3083">
            <w:pPr>
              <w:spacing w:line="480" w:lineRule="auto"/>
              <w:jc w:val="center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0.409</w:t>
            </w:r>
          </w:p>
        </w:tc>
      </w:tr>
      <w:tr w:rsidR="007C2963" w:rsidRPr="00252A92" w14:paraId="6950ECC6" w14:textId="77777777" w:rsidTr="007C3083">
        <w:trPr>
          <w:jc w:val="center"/>
        </w:trPr>
        <w:tc>
          <w:tcPr>
            <w:tcW w:w="99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F223A" w14:textId="77777777" w:rsidR="007C2963" w:rsidRPr="00252A92" w:rsidRDefault="007C2963" w:rsidP="007C3083">
            <w:pPr>
              <w:spacing w:line="480" w:lineRule="auto"/>
              <w:rPr>
                <w:rFonts w:eastAsia="DengXian"/>
                <w:color w:val="000000"/>
                <w:sz w:val="22"/>
                <w:szCs w:val="22"/>
              </w:rPr>
            </w:pPr>
            <w:r w:rsidRPr="00252A92">
              <w:rPr>
                <w:rFonts w:eastAsia="DengXian"/>
                <w:color w:val="000000"/>
                <w:sz w:val="22"/>
                <w:szCs w:val="22"/>
              </w:rPr>
              <w:t>Median (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IQR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)</w:t>
            </w:r>
            <w:r w:rsidRPr="00252A92">
              <w:rPr>
                <w:rFonts w:eastAsia="DengXian" w:hint="eastAsia"/>
                <w:color w:val="000000"/>
                <w:sz w:val="22"/>
                <w:szCs w:val="22"/>
              </w:rPr>
              <w:t>, t</w:t>
            </w:r>
            <w:r w:rsidRPr="00252A92">
              <w:rPr>
                <w:rFonts w:eastAsia="DengXian"/>
                <w:color w:val="000000"/>
                <w:sz w:val="22"/>
                <w:szCs w:val="22"/>
              </w:rPr>
              <w:t>hese patients received NAs therapy for at least 2 years and maintained sustained virological suppression (HBV DNA &lt; 10 IU/mL on at least 3 consecutive tests over 6 months)</w:t>
            </w:r>
          </w:p>
        </w:tc>
      </w:tr>
    </w:tbl>
    <w:p w14:paraId="635F973F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18"/>
    <w:rsid w:val="00390818"/>
    <w:rsid w:val="004244E6"/>
    <w:rsid w:val="0067415F"/>
    <w:rsid w:val="007C2963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E2126-A334-4258-9942-66F94B1C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8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8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8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8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81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7C296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2026-08-11T02:55:00Z</dcterms:created>
  <dcterms:modified xsi:type="dcterms:W3CDTF">2026-08-11T02:55:00Z</dcterms:modified>
</cp:coreProperties>
</file>