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0A53A" w14:textId="77777777" w:rsidR="00DE7E7D" w:rsidRPr="002F5A48" w:rsidRDefault="00DE7E7D" w:rsidP="00DE7E7D">
      <w:pPr>
        <w:pStyle w:val="EndNoteBibliography"/>
        <w:spacing w:before="50" w:line="360" w:lineRule="auto"/>
        <w:rPr>
          <w:rFonts w:ascii="Times New Roman" w:hAnsi="Times New Roman" w:cs="Times New Roman"/>
          <w:color w:val="000000"/>
          <w:kern w:val="0"/>
          <w:sz w:val="24"/>
          <w:lang w:val="en-GB" w:bidi="ar"/>
        </w:rPr>
      </w:pPr>
    </w:p>
    <w:p w14:paraId="6D8F5000" w14:textId="77777777" w:rsidR="00DE7E7D" w:rsidRDefault="00DE7E7D" w:rsidP="00DE7E7D">
      <w:pPr>
        <w:pStyle w:val="EndNoteBibliography"/>
        <w:spacing w:before="5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cs="Times New Roman"/>
          <w:noProof/>
          <w:color w:val="000000"/>
          <w:kern w:val="0"/>
          <w:sz w:val="24"/>
          <w:lang w:bidi="ar"/>
          <w14:ligatures w14:val="standardContextual"/>
        </w:rPr>
        <w:drawing>
          <wp:inline distT="0" distB="0" distL="0" distR="0" wp14:anchorId="13241855" wp14:editId="6AC638B0">
            <wp:extent cx="5274310" cy="2945130"/>
            <wp:effectExtent l="0" t="0" r="2540" b="7620"/>
            <wp:docPr id="125024359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243594" name="图片 125024359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CF71A" w14:textId="77777777" w:rsidR="00DE7E7D" w:rsidRPr="00452D30" w:rsidRDefault="00DE7E7D" w:rsidP="00DE7E7D">
      <w:pPr>
        <w:spacing w:line="360" w:lineRule="auto"/>
        <w:rPr>
          <w:rFonts w:ascii="Times New Roman" w:hAnsi="Times New Roman"/>
          <w:b/>
          <w:bCs/>
        </w:rPr>
      </w:pPr>
      <w:bookmarkStart w:id="0" w:name="_Hlk208322020"/>
      <w:r w:rsidRPr="00452D30">
        <w:rPr>
          <w:rFonts w:ascii="Times New Roman" w:hAnsi="Times New Roman"/>
          <w:b/>
          <w:bCs/>
        </w:rPr>
        <w:t>Supplementary Fig. 6. Differences in B-cell subset frequencies between high- and low-HBsAg groups in CHB patients.</w:t>
      </w:r>
    </w:p>
    <w:bookmarkEnd w:id="0"/>
    <w:p w14:paraId="5CA077E3" w14:textId="77777777" w:rsidR="00DE7E7D" w:rsidRPr="00452D30" w:rsidRDefault="00DE7E7D" w:rsidP="00DE7E7D">
      <w:pPr>
        <w:spacing w:line="360" w:lineRule="auto"/>
        <w:rPr>
          <w:rFonts w:ascii="Times New Roman" w:hAnsi="Times New Roman"/>
        </w:rPr>
      </w:pPr>
      <w:r w:rsidRPr="00452D30">
        <w:rPr>
          <w:rFonts w:ascii="Times New Roman" w:hAnsi="Times New Roman"/>
        </w:rPr>
        <w:t xml:space="preserve">(A) Comparative analysis of B-cell subset frequencies (atypical, resting memory, classical, and Naïve B cells) across groups with different serum HBsAg levels. Correlation analysis between B-cell subset frequencies and quantitative HBsAg levels in the low-HBsAg group (B) and high-HBsAg group (C). Data are presented as mean ± SEM, and differences were analyzed with the Mann–Whitney U test. Correlations were evaluated using Spearman's rank correlation. Statistical significance was set at </w:t>
      </w:r>
      <w:r w:rsidRPr="00FB5100">
        <w:rPr>
          <w:rFonts w:ascii="Times New Roman" w:hAnsi="Times New Roman"/>
          <w:i/>
          <w:iCs/>
        </w:rPr>
        <w:t>P</w:t>
      </w:r>
      <w:r w:rsidRPr="00452D30">
        <w:rPr>
          <w:rFonts w:ascii="Times New Roman" w:hAnsi="Times New Roman"/>
        </w:rPr>
        <w:t xml:space="preserve"> &lt; 0.05.</w:t>
      </w:r>
    </w:p>
    <w:p w14:paraId="44C2AE8A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BE1"/>
    <w:rsid w:val="004244E6"/>
    <w:rsid w:val="0067415F"/>
    <w:rsid w:val="009B3EB2"/>
    <w:rsid w:val="00AD7BE1"/>
    <w:rsid w:val="00DE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D9BCF7-A360-4AC9-AE92-1BF1D38A6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B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B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B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B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B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B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B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B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B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B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B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B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B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B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B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B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BE1"/>
    <w:rPr>
      <w:b/>
      <w:bCs/>
      <w:smallCaps/>
      <w:color w:val="2F5496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0"/>
    <w:qFormat/>
    <w:rsid w:val="00DE7E7D"/>
    <w:pPr>
      <w:widowControl w:val="0"/>
      <w:spacing w:after="0" w:line="240" w:lineRule="auto"/>
      <w:jc w:val="both"/>
    </w:pPr>
    <w:rPr>
      <w:rFonts w:ascii="Calibri" w:eastAsia="SimSun" w:hAnsi="Calibri" w:cs="Calibri"/>
      <w:sz w:val="20"/>
      <w:lang w:eastAsia="zh-CN"/>
      <w14:ligatures w14:val="none"/>
    </w:rPr>
  </w:style>
  <w:style w:type="character" w:customStyle="1" w:styleId="EndNoteBibliography0">
    <w:name w:val="EndNote Bibliography 字符"/>
    <w:link w:val="EndNoteBibliography"/>
    <w:qFormat/>
    <w:rsid w:val="00DE7E7D"/>
    <w:rPr>
      <w:rFonts w:ascii="Calibri" w:eastAsia="SimSun" w:hAnsi="Calibri" w:cs="Calibri"/>
      <w:sz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2026-08-11T02:57:00Z</dcterms:created>
  <dcterms:modified xsi:type="dcterms:W3CDTF">2026-08-11T02:57:00Z</dcterms:modified>
</cp:coreProperties>
</file>