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2EC" w14:textId="77777777" w:rsidR="007C5F9A" w:rsidRPr="007C5F9A" w:rsidRDefault="007C5F9A" w:rsidP="007C5F9A">
      <w:pPr>
        <w:keepNext/>
        <w:keepLines/>
        <w:spacing w:before="160" w:after="80" w:line="260" w:lineRule="auto"/>
        <w:outlineLvl w:val="0"/>
        <w:rPr>
          <w:rFonts w:ascii="Calibri" w:eastAsia="MS Gothic" w:hAnsi="Calibri"/>
          <w:b/>
          <w:bCs/>
          <w:color w:val="000000"/>
          <w:kern w:val="0"/>
          <w:sz w:val="32"/>
          <w:szCs w:val="28"/>
          <w:lang w:eastAsia="en-US"/>
          <w14:ligatures w14:val="none"/>
        </w:rPr>
      </w:pPr>
      <w:r w:rsidRPr="007C5F9A">
        <w:rPr>
          <w:rFonts w:eastAsia="Times New Roman"/>
          <w:b/>
          <w:bCs/>
          <w:color w:val="000000"/>
          <w:kern w:val="0"/>
          <w:lang w:eastAsia="en-US"/>
          <w14:ligatures w14:val="none"/>
        </w:rPr>
        <w:t>Supplementary Table</w:t>
      </w:r>
      <w:r w:rsidRPr="007C5F9A">
        <w:rPr>
          <w:rFonts w:eastAsia="宋体"/>
          <w:b/>
          <w:bCs/>
          <w:color w:val="000000"/>
          <w:kern w:val="0"/>
          <w14:ligatures w14:val="none"/>
        </w:rPr>
        <w:t>.</w:t>
      </w:r>
      <w:r w:rsidRPr="007C5F9A">
        <w:rPr>
          <w:rFonts w:eastAsia="Times New Roman"/>
          <w:b/>
          <w:bCs/>
          <w:color w:val="000000"/>
          <w:kern w:val="0"/>
          <w:lang w:eastAsia="en-US"/>
          <w14:ligatures w14:val="none"/>
        </w:rPr>
        <w:t xml:space="preserve"> 2. GRADE evidence profile for the eight consensus statements</w:t>
      </w:r>
    </w:p>
    <w:tbl>
      <w:tblPr>
        <w:tblW w:w="13500" w:type="dxa"/>
        <w:jc w:val="center"/>
        <w:tblBorders>
          <w:top w:val="single" w:sz="8" w:space="0" w:color="000000"/>
          <w:left w:val="none" w:sz="4" w:space="0" w:color="auto"/>
          <w:bottom w:val="single" w:sz="8" w:space="0" w:color="000000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04"/>
        <w:gridCol w:w="2509"/>
        <w:gridCol w:w="2779"/>
        <w:gridCol w:w="1265"/>
        <w:gridCol w:w="2358"/>
        <w:gridCol w:w="1481"/>
      </w:tblGrid>
      <w:tr w:rsidR="007C5F9A" w:rsidRPr="007C5F9A" w14:paraId="76C68731" w14:textId="77777777" w:rsidTr="000316AC">
        <w:trPr>
          <w:tblHeader/>
          <w:jc w:val="center"/>
        </w:trPr>
        <w:tc>
          <w:tcPr>
            <w:tcW w:w="704" w:type="dxa"/>
            <w:tcBorders>
              <w:bottom w:val="single" w:sz="8" w:space="0" w:color="000000"/>
            </w:tcBorders>
          </w:tcPr>
          <w:p w14:paraId="1740E79C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b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No.</w:t>
            </w:r>
          </w:p>
        </w:tc>
        <w:tc>
          <w:tcPr>
            <w:tcW w:w="2404" w:type="dxa"/>
            <w:tcBorders>
              <w:bottom w:val="single" w:sz="8" w:space="0" w:color="000000"/>
            </w:tcBorders>
          </w:tcPr>
          <w:p w14:paraId="3002042B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b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Statement (abbreviated)</w:t>
            </w:r>
          </w:p>
        </w:tc>
        <w:tc>
          <w:tcPr>
            <w:tcW w:w="2509" w:type="dxa"/>
            <w:tcBorders>
              <w:bottom w:val="single" w:sz="8" w:space="0" w:color="000000"/>
            </w:tcBorders>
          </w:tcPr>
          <w:p w14:paraId="5866BDCF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b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Supporting studies (design; n)</w:t>
            </w:r>
          </w:p>
        </w:tc>
        <w:tc>
          <w:tcPr>
            <w:tcW w:w="2779" w:type="dxa"/>
            <w:tcBorders>
              <w:bottom w:val="single" w:sz="8" w:space="0" w:color="000000"/>
            </w:tcBorders>
          </w:tcPr>
          <w:p w14:paraId="788CA662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b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Key effect estimates</w:t>
            </w:r>
          </w:p>
        </w:tc>
        <w:tc>
          <w:tcPr>
            <w:tcW w:w="1265" w:type="dxa"/>
            <w:tcBorders>
              <w:bottom w:val="single" w:sz="8" w:space="0" w:color="000000"/>
            </w:tcBorders>
          </w:tcPr>
          <w:p w14:paraId="46D7E4ED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b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Quality</w:t>
            </w:r>
          </w:p>
        </w:tc>
        <w:tc>
          <w:tcPr>
            <w:tcW w:w="2358" w:type="dxa"/>
            <w:tcBorders>
              <w:bottom w:val="single" w:sz="8" w:space="0" w:color="000000"/>
            </w:tcBorders>
          </w:tcPr>
          <w:p w14:paraId="63764484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b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Downgrading reasons</w:t>
            </w:r>
          </w:p>
        </w:tc>
        <w:tc>
          <w:tcPr>
            <w:tcW w:w="1481" w:type="dxa"/>
            <w:tcBorders>
              <w:bottom w:val="single" w:sz="8" w:space="0" w:color="000000"/>
            </w:tcBorders>
          </w:tcPr>
          <w:p w14:paraId="4B2F75C9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b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Strength / agreement</w:t>
            </w:r>
          </w:p>
        </w:tc>
      </w:tr>
      <w:tr w:rsidR="007C5F9A" w:rsidRPr="007C5F9A" w14:paraId="09C2CFCD" w14:textId="77777777" w:rsidTr="000316AC">
        <w:trPr>
          <w:jc w:val="center"/>
        </w:trPr>
        <w:tc>
          <w:tcPr>
            <w:tcW w:w="704" w:type="dxa"/>
          </w:tcPr>
          <w:p w14:paraId="393D6793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</w:t>
            </w:r>
          </w:p>
        </w:tc>
        <w:tc>
          <w:tcPr>
            <w:tcW w:w="2404" w:type="dxa"/>
          </w:tcPr>
          <w:p w14:paraId="03BB4726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for real-time 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in vivo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diagnosis and differentiation of CRC and precancerous lesions (adenomatous vs. non-adenomatous polyps)</w:t>
            </w:r>
          </w:p>
        </w:tc>
        <w:tc>
          <w:tcPr>
            <w:tcW w:w="2509" w:type="dxa"/>
          </w:tcPr>
          <w:p w14:paraId="42A540FD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Vennelaganti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2018, prospective criteria-development + external validation (28 + 36 polyp videos) [PMID: 28885303]; Buchner 2010, prospective comparative accuracy study (75 patients, 119 polyps) [PMID: 19909747]</w:t>
            </w:r>
          </w:p>
        </w:tc>
        <w:tc>
          <w:tcPr>
            <w:tcW w:w="2779" w:type="dxa"/>
          </w:tcPr>
          <w:p w14:paraId="58BB0EFD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External validation: overall accuracy 84.9%; high-confidence accuracy 91%, sensitivity 83%, specificity 100%, PPV 98%, NPV 87%, κ = 0.73.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vs. virtual chromoendoscopy: sensitivity 91% vs. 77% (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= 0.010);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vs. FICE 93% vs. 73% (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= 0.003)</w:t>
            </w:r>
          </w:p>
        </w:tc>
        <w:tc>
          <w:tcPr>
            <w:tcW w:w="1265" w:type="dxa"/>
          </w:tcPr>
          <w:p w14:paraId="1B3ADB07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High</w:t>
            </w:r>
          </w:p>
        </w:tc>
        <w:tc>
          <w:tcPr>
            <w:tcW w:w="2358" w:type="dxa"/>
          </w:tcPr>
          <w:p w14:paraId="3BF14A39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None — direct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validation studies, histopathology reference standard, consistent across independent cohorts</w:t>
            </w:r>
          </w:p>
        </w:tc>
        <w:tc>
          <w:tcPr>
            <w:tcW w:w="1481" w:type="dxa"/>
          </w:tcPr>
          <w:p w14:paraId="32B94CC4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Strong / 91.7%</w:t>
            </w:r>
          </w:p>
        </w:tc>
      </w:tr>
      <w:tr w:rsidR="007C5F9A" w:rsidRPr="007C5F9A" w14:paraId="350C82B3" w14:textId="77777777" w:rsidTr="000316AC">
        <w:trPr>
          <w:jc w:val="center"/>
        </w:trPr>
        <w:tc>
          <w:tcPr>
            <w:tcW w:w="704" w:type="dxa"/>
          </w:tcPr>
          <w:p w14:paraId="11AAA1B9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2</w:t>
            </w:r>
          </w:p>
        </w:tc>
        <w:tc>
          <w:tcPr>
            <w:tcW w:w="2404" w:type="dxa"/>
          </w:tcPr>
          <w:p w14:paraId="5A0AFD2A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Chromoendoscopy-guided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targeted biopsy improves detection of colorectal neoplasia in long-standing UC and reduces biopsies</w:t>
            </w:r>
          </w:p>
        </w:tc>
        <w:tc>
          <w:tcPr>
            <w:tcW w:w="2509" w:type="dxa"/>
          </w:tcPr>
          <w:p w14:paraId="729F0E9E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Kiesslich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2007, RCT (161 randomized, 153 analyzed; conventional colonoscopy 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n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= 73 vs. chromoendoscopy + endomicroscopy 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n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= 80) [PMID: 17383417]; Abe 2018, prospective pilot (22 patients; invasion depth) [PMID: 29700599]</w:t>
            </w:r>
          </w:p>
        </w:tc>
        <w:tc>
          <w:tcPr>
            <w:tcW w:w="2779" w:type="dxa"/>
          </w:tcPr>
          <w:p w14:paraId="5B00C5D9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4.75-fold more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neoplasias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detected (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= 0.005) with 50% fewer biopsies (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= 0.008); per-lesion prediction of neoplasia: sensitivity 94.7%, specificity 98.3%, accuracy 97.8%. Invasion depth (SM2+): sensitivity 80%, specificity 94%, accuracy 91%</w:t>
            </w:r>
          </w:p>
        </w:tc>
        <w:tc>
          <w:tcPr>
            <w:tcW w:w="1265" w:type="dxa"/>
          </w:tcPr>
          <w:p w14:paraId="47B2F8D0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Moderate</w:t>
            </w:r>
          </w:p>
        </w:tc>
        <w:tc>
          <w:tcPr>
            <w:tcW w:w="2358" w:type="dxa"/>
          </w:tcPr>
          <w:p w14:paraId="38001B61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IND (−1): principal RCT evaluated chromoendoscopy-guided CLE rather than standalone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, and addressed UC-associated neoplasia rather than all early lower GI cancers</w:t>
            </w:r>
          </w:p>
        </w:tc>
        <w:tc>
          <w:tcPr>
            <w:tcW w:w="1481" w:type="dxa"/>
          </w:tcPr>
          <w:p w14:paraId="77272D94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Strong / 89.6%</w:t>
            </w:r>
          </w:p>
        </w:tc>
      </w:tr>
      <w:tr w:rsidR="007C5F9A" w:rsidRPr="007C5F9A" w14:paraId="7A7515D6" w14:textId="77777777" w:rsidTr="000316AC">
        <w:trPr>
          <w:jc w:val="center"/>
        </w:trPr>
        <w:tc>
          <w:tcPr>
            <w:tcW w:w="704" w:type="dxa"/>
          </w:tcPr>
          <w:p w14:paraId="3BFED14A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3</w:t>
            </w:r>
          </w:p>
        </w:tc>
        <w:tc>
          <w:tcPr>
            <w:tcW w:w="2404" w:type="dxa"/>
          </w:tcPr>
          <w:p w14:paraId="39AFC991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for intraoperative real-time assessment of the distal resection margin in radical surgery for low rectal cancer (EMR/ESD value unvalidated)</w:t>
            </w:r>
          </w:p>
        </w:tc>
        <w:tc>
          <w:tcPr>
            <w:tcW w:w="2509" w:type="dxa"/>
          </w:tcPr>
          <w:p w14:paraId="27D496AB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Liu 2019, prospective single-arm (18 patients) [PMID: 30386986]; Tan 2022, prospective single-arm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TaTME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series (43 patients) [PMID: 36632126]</w:t>
            </w:r>
          </w:p>
        </w:tc>
        <w:tc>
          <w:tcPr>
            <w:tcW w:w="2779" w:type="dxa"/>
          </w:tcPr>
          <w:p w14:paraId="21A4F38B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Liu: all 18 patients achieved R0 resection. Tan: sensitivity 90.00%, specificity 86.96%, accuracy 88.37%; blinded re-interpretation accuracy 86.05%; κ = 0.767; median distal margin 7 mm; all R0</w:t>
            </w:r>
          </w:p>
        </w:tc>
        <w:tc>
          <w:tcPr>
            <w:tcW w:w="1265" w:type="dxa"/>
          </w:tcPr>
          <w:p w14:paraId="501FD1AB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Low</w:t>
            </w:r>
          </w:p>
        </w:tc>
        <w:tc>
          <w:tcPr>
            <w:tcW w:w="2358" w:type="dxa"/>
          </w:tcPr>
          <w:p w14:paraId="6FBB7378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IMP (−1): small single-arm cohorts; IND (−1): evidence from radical-surgery setting, not directly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extrapolable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to EMR/ESD margin assessment</w:t>
            </w:r>
          </w:p>
        </w:tc>
        <w:tc>
          <w:tcPr>
            <w:tcW w:w="1481" w:type="dxa"/>
          </w:tcPr>
          <w:p w14:paraId="0549C772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Weak / 83.3%</w:t>
            </w:r>
          </w:p>
        </w:tc>
      </w:tr>
      <w:tr w:rsidR="007C5F9A" w:rsidRPr="007C5F9A" w14:paraId="028E4078" w14:textId="77777777" w:rsidTr="000316AC">
        <w:trPr>
          <w:jc w:val="center"/>
        </w:trPr>
        <w:tc>
          <w:tcPr>
            <w:tcW w:w="704" w:type="dxa"/>
          </w:tcPr>
          <w:p w14:paraId="78D3A022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4</w:t>
            </w:r>
          </w:p>
        </w:tc>
        <w:tc>
          <w:tcPr>
            <w:tcW w:w="2404" w:type="dxa"/>
          </w:tcPr>
          <w:p w14:paraId="69B3400B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detects minimal mucosal inflammation as a research tool in IBS; not recommended for routine IBS diagnosis (Rome IV)</w:t>
            </w:r>
          </w:p>
        </w:tc>
        <w:tc>
          <w:tcPr>
            <w:tcW w:w="2509" w:type="dxa"/>
          </w:tcPr>
          <w:p w14:paraId="1CACE467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Robles-Medranda 2020, prospective controlled single-blind diagnostic trial (37 IBS vs. 37 controls) [PMID: 32258379]; Zhao 2019, ultrastructural study in IBS-D [PMID: 31560236]</w:t>
            </w:r>
          </w:p>
        </w:tc>
        <w:tc>
          <w:tcPr>
            <w:tcW w:w="2779" w:type="dxa"/>
          </w:tcPr>
          <w:p w14:paraId="2FC3074E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Microinflammation on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: 65.8% of images in IBS vs. 23.4% in controls (OR 6.28, 95% CI 4.14–9.52, 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&lt; 0.001); vs. histology: sensitivity 76%, specificity 91%, PPV 76%, NPV 91%, accuracy 86.5%, κ = 0.668</w:t>
            </w:r>
          </w:p>
        </w:tc>
        <w:tc>
          <w:tcPr>
            <w:tcW w:w="1265" w:type="dxa"/>
          </w:tcPr>
          <w:p w14:paraId="67FC048A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Low</w:t>
            </w:r>
          </w:p>
        </w:tc>
        <w:tc>
          <w:tcPr>
            <w:tcW w:w="2358" w:type="dxa"/>
          </w:tcPr>
          <w:p w14:paraId="4A470DBB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IMP (−1): single-center small sample; IND (−1): research-level correlate, no demonstrated clinical utility for a symptom-based (Rome IV) diagnosis</w:t>
            </w:r>
          </w:p>
        </w:tc>
        <w:tc>
          <w:tcPr>
            <w:tcW w:w="1481" w:type="dxa"/>
          </w:tcPr>
          <w:p w14:paraId="22E6927B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Weak / 81.2%</w:t>
            </w:r>
          </w:p>
        </w:tc>
      </w:tr>
      <w:tr w:rsidR="007C5F9A" w:rsidRPr="007C5F9A" w14:paraId="6CF48191" w14:textId="77777777" w:rsidTr="000316AC">
        <w:trPr>
          <w:jc w:val="center"/>
        </w:trPr>
        <w:tc>
          <w:tcPr>
            <w:tcW w:w="704" w:type="dxa"/>
          </w:tcPr>
          <w:p w14:paraId="264BEF85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5</w:t>
            </w:r>
          </w:p>
        </w:tc>
        <w:tc>
          <w:tcPr>
            <w:tcW w:w="2404" w:type="dxa"/>
          </w:tcPr>
          <w:p w14:paraId="4A309670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with the fluorescein leakage test evaluates colorectal mucosal barrier function</w:t>
            </w:r>
          </w:p>
        </w:tc>
        <w:tc>
          <w:tcPr>
            <w:tcW w:w="2509" w:type="dxa"/>
          </w:tcPr>
          <w:p w14:paraId="45081E5B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Minea 2026, prospective cohort (81 UC in remission, 24-month follow-up) [PMID: 41820246]; Trieu 2025, cross-sectional barrier assessment [PMID: 39873272]; Rath 2021, cross-sectional 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in vivo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barrier imaging [PMID: 34140591]</w:t>
            </w:r>
          </w:p>
        </w:tc>
        <w:tc>
          <w:tcPr>
            <w:tcW w:w="2779" w:type="dxa"/>
          </w:tcPr>
          <w:p w14:paraId="63815077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Predictors of relapse after mucosal healing: altered colonic permeability OR 3.85 (95% CI 1.25–11.77);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microscopic inflammation OR 6.04 (95% CI 1.89–19.31); impaired barrier HR 6.01 (terminal ileum) and 6.51 (colon), both 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&lt; 0.001; 29 patients with </w:t>
            </w:r>
            <w:r w:rsidRPr="007C5F9A"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“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triple healing</w:t>
            </w:r>
            <w:r w:rsidRPr="007C5F9A"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”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had no relapse at 24 months</w:t>
            </w:r>
          </w:p>
        </w:tc>
        <w:tc>
          <w:tcPr>
            <w:tcW w:w="1265" w:type="dxa"/>
          </w:tcPr>
          <w:p w14:paraId="72F8C30A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Moderate</w:t>
            </w:r>
          </w:p>
        </w:tc>
        <w:tc>
          <w:tcPr>
            <w:tcW w:w="2358" w:type="dxa"/>
          </w:tcPr>
          <w:p w14:paraId="4C5F405B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RoB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/design (−1): prospective observational and cross-sectional studies; large and consistent effects (HR &gt; 6) support the rating</w:t>
            </w:r>
          </w:p>
        </w:tc>
        <w:tc>
          <w:tcPr>
            <w:tcW w:w="1481" w:type="dxa"/>
          </w:tcPr>
          <w:p w14:paraId="7D34C849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Strong / 81.2%</w:t>
            </w:r>
          </w:p>
        </w:tc>
      </w:tr>
      <w:tr w:rsidR="007C5F9A" w:rsidRPr="007C5F9A" w14:paraId="4C1D868E" w14:textId="77777777" w:rsidTr="000316AC">
        <w:trPr>
          <w:jc w:val="center"/>
        </w:trPr>
        <w:tc>
          <w:tcPr>
            <w:tcW w:w="704" w:type="dxa"/>
          </w:tcPr>
          <w:p w14:paraId="7B1B8AFD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lastRenderedPageBreak/>
              <w:t>6</w:t>
            </w:r>
          </w:p>
        </w:tc>
        <w:tc>
          <w:tcPr>
            <w:tcW w:w="2404" w:type="dxa"/>
          </w:tcPr>
          <w:p w14:paraId="6AAFFABA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provides adjunctive microscopic information for IBD diagnosis and CD/UC differential diagnosis; does not replace conventional evaluation</w:t>
            </w:r>
          </w:p>
        </w:tc>
        <w:tc>
          <w:tcPr>
            <w:tcW w:w="2509" w:type="dxa"/>
          </w:tcPr>
          <w:p w14:paraId="7C32A448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Tontini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2015, prospective diagnostic study (79 IBD: 40 CD, 39 UC) [PMID: 25521573];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Quénéhervé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2019, retrospective computer-assisted analysis (23 CD, 27 UC, 9 controls) [PMID: 30120955]</w:t>
            </w:r>
          </w:p>
        </w:tc>
        <w:tc>
          <w:tcPr>
            <w:tcW w:w="2779" w:type="dxa"/>
          </w:tcPr>
          <w:p w14:paraId="3DD561E1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CD vs. UC features: discontinuous inflammation 87.5% vs. 5.1%; focal cryptitis 75.0% vs. 12.8% (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&lt; 0.0001); IDEA-based scoring accuracy 93.7% (UC: sensitivity 97.4%, specificity 90.0%; CD: 90.0% / 97.4%). Computer-assisted scoring: IBD diagnosis sensitivity/specificity 100%/100%; CD vs. UC 92%/91%</w:t>
            </w:r>
          </w:p>
        </w:tc>
        <w:tc>
          <w:tcPr>
            <w:tcW w:w="1265" w:type="dxa"/>
          </w:tcPr>
          <w:p w14:paraId="3E18DB2A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Moderate</w:t>
            </w:r>
          </w:p>
        </w:tc>
        <w:tc>
          <w:tcPr>
            <w:tcW w:w="2358" w:type="dxa"/>
          </w:tcPr>
          <w:p w14:paraId="5A9CBFB6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IMP (−1): limited sample sizes, pilot/derivation-phase studies, few centers; consistent direction of effect across studies</w:t>
            </w:r>
          </w:p>
        </w:tc>
        <w:tc>
          <w:tcPr>
            <w:tcW w:w="1481" w:type="dxa"/>
          </w:tcPr>
          <w:p w14:paraId="4A7380B5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Weak / 83.3%</w:t>
            </w:r>
          </w:p>
        </w:tc>
      </w:tr>
      <w:tr w:rsidR="007C5F9A" w:rsidRPr="007C5F9A" w14:paraId="4FCBC80B" w14:textId="77777777" w:rsidTr="000316AC">
        <w:trPr>
          <w:jc w:val="center"/>
        </w:trPr>
        <w:tc>
          <w:tcPr>
            <w:tcW w:w="704" w:type="dxa"/>
          </w:tcPr>
          <w:p w14:paraId="23BFD785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7</w:t>
            </w:r>
          </w:p>
        </w:tc>
        <w:tc>
          <w:tcPr>
            <w:tcW w:w="2404" w:type="dxa"/>
          </w:tcPr>
          <w:p w14:paraId="11BBCC4E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evaluates UC mucosal healing and predicts relapse risk</w:t>
            </w:r>
          </w:p>
        </w:tc>
        <w:tc>
          <w:tcPr>
            <w:tcW w:w="2509" w:type="dxa"/>
          </w:tcPr>
          <w:p w14:paraId="6C998EA5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Hundorfean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2017, prospective validation of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eMHs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(23 UC, 3-year follow-up) [PMID: 29272480];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Iacucci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2020, prospective comparative accuracy study (82 UC) [PMID: 32201877]; Buda 2014, prospective blinded cohort (19 UC) [PMID: 24094597];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Kiesslich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2012, prospective cohort (58 IBD) [PMID: 22115910]; Rahmi 2021, prospective multicenter ENHANCE derivation (100 UC, 5 centers) [PMID: 33336249]; Tian 2019, microcirculation study [PMID: 31262270]</w:t>
            </w:r>
          </w:p>
        </w:tc>
        <w:tc>
          <w:tcPr>
            <w:tcW w:w="2779" w:type="dxa"/>
          </w:tcPr>
          <w:p w14:paraId="5A0246A0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eMHs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: sensitivity 100%, specificity 93.75%, accuracy 94.44% for mucosal healing.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vs. histology (</w:t>
            </w:r>
            <w:proofErr w:type="gram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Robarts</w:t>
            </w:r>
            <w:proofErr w:type="gram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index): sensitivity 94.9%, specificity 91.3%, accuracy 93.9%, AUROC 96.5%. Relapse prediction: fluorescein leakage + crypt diameter composite score (</w:t>
            </w:r>
            <w:r w:rsidRPr="007C5F9A">
              <w:rPr>
                <w:rFonts w:eastAsia="Times New Roman"/>
                <w:i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</w:t>
            </w: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&lt; 0.01); CLE grading sensitivity 62.5%, specificity 91.2%, accuracy 79%. ENHANCE index: accuracy 79.6%, sensitivity 57.8%, specificity 82.8%, NPV 93.1% (index ≤ 1)</w:t>
            </w:r>
          </w:p>
        </w:tc>
        <w:tc>
          <w:tcPr>
            <w:tcW w:w="1265" w:type="dxa"/>
          </w:tcPr>
          <w:p w14:paraId="245C5D8A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Moderate</w:t>
            </w:r>
          </w:p>
        </w:tc>
        <w:tc>
          <w:tcPr>
            <w:tcW w:w="2358" w:type="dxa"/>
          </w:tcPr>
          <w:p w14:paraId="067D42D0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IMP (−1): mostly small prospective cohorts; INC (−1): heterogeneous scoring systems and platforms; direction of effect consistent across studies</w:t>
            </w:r>
          </w:p>
        </w:tc>
        <w:tc>
          <w:tcPr>
            <w:tcW w:w="1481" w:type="dxa"/>
          </w:tcPr>
          <w:p w14:paraId="0E78EA93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Strong / 85.4%</w:t>
            </w:r>
          </w:p>
        </w:tc>
      </w:tr>
      <w:tr w:rsidR="007C5F9A" w:rsidRPr="007C5F9A" w14:paraId="1BD5314F" w14:textId="77777777" w:rsidTr="000316AC">
        <w:trPr>
          <w:jc w:val="center"/>
        </w:trPr>
        <w:tc>
          <w:tcPr>
            <w:tcW w:w="704" w:type="dxa"/>
          </w:tcPr>
          <w:p w14:paraId="57C62224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8</w:t>
            </w:r>
          </w:p>
        </w:tc>
        <w:tc>
          <w:tcPr>
            <w:tcW w:w="2404" w:type="dxa"/>
          </w:tcPr>
          <w:p w14:paraId="6718983E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for early surveillance of colorectal carcinogenesis in IBD and differentiation of benign from malignant lesions</w:t>
            </w:r>
          </w:p>
        </w:tc>
        <w:tc>
          <w:tcPr>
            <w:tcW w:w="2509" w:type="dxa"/>
          </w:tcPr>
          <w:p w14:paraId="35956235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Kiesslich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2007, RCT [PMID: 17383417];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Ohmiya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2017, prospective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series (12 suspected UC-associated neoplasia of 665 UC screened) [PMID: 28244237];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Sanduleanu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2010, chromoendoscopy-guided CLE classification study [PMID: 19683597]</w:t>
            </w:r>
          </w:p>
        </w:tc>
        <w:tc>
          <w:tcPr>
            <w:tcW w:w="2779" w:type="dxa"/>
          </w:tcPr>
          <w:p w14:paraId="3EE5635F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Chromoendoscopy-guided CLE: ~4.75-fold neoplasia detection with ~50% fewer biopsies (RCT).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for UC-associated neoplasia vs. regenerative lesions: sensitivity 100%, specificity 83%, accuracy 92%</w:t>
            </w:r>
          </w:p>
        </w:tc>
        <w:tc>
          <w:tcPr>
            <w:tcW w:w="1265" w:type="dxa"/>
          </w:tcPr>
          <w:p w14:paraId="0121FE5F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Moderate</w:t>
            </w:r>
          </w:p>
        </w:tc>
        <w:tc>
          <w:tcPr>
            <w:tcW w:w="2358" w:type="dxa"/>
          </w:tcPr>
          <w:p w14:paraId="1028213C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IND (−1): randomized evidence generated with chromoendoscopy-guided CLE rather than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alone; direct </w:t>
            </w:r>
            <w:proofErr w:type="spell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pCLE</w:t>
            </w:r>
            <w:proofErr w:type="spell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evidence from small </w:t>
            </w:r>
            <w:proofErr w:type="gramStart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prospective</w:t>
            </w:r>
            <w:proofErr w:type="gramEnd"/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series</w:t>
            </w:r>
          </w:p>
        </w:tc>
        <w:tc>
          <w:tcPr>
            <w:tcW w:w="1481" w:type="dxa"/>
          </w:tcPr>
          <w:p w14:paraId="6E8FC067" w14:textId="77777777" w:rsidR="007C5F9A" w:rsidRPr="007C5F9A" w:rsidRDefault="007C5F9A" w:rsidP="007C5F9A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7C5F9A">
              <w:rPr>
                <w:rFonts w:eastAsia="Times New Roman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Strong / 87.5%</w:t>
            </w:r>
          </w:p>
        </w:tc>
      </w:tr>
    </w:tbl>
    <w:p w14:paraId="5CD1658F" w14:textId="0B158BD6" w:rsidR="007C5F9A" w:rsidRPr="007C5F9A" w:rsidRDefault="007C5F9A" w:rsidP="008A7252">
      <w:pPr>
        <w:spacing w:after="80" w:line="260" w:lineRule="auto"/>
        <w:jc w:val="both"/>
        <w:rPr>
          <w:rFonts w:eastAsia="宋体"/>
          <w:color w:val="000000"/>
          <w:kern w:val="0"/>
          <w:sz w:val="22"/>
          <w:szCs w:val="22"/>
          <w14:ligatures w14:val="none"/>
        </w:rPr>
      </w:pPr>
      <w:r w:rsidRPr="007C5F9A">
        <w:rPr>
          <w:rFonts w:eastAsia="Times New Roman"/>
          <w:iCs/>
          <w:color w:val="000000"/>
          <w:kern w:val="0"/>
          <w:sz w:val="20"/>
          <w:szCs w:val="20"/>
          <w:lang w:eastAsia="en-US"/>
          <w14:ligatures w14:val="none"/>
        </w:rPr>
        <w:t xml:space="preserve">Evidence certainty was graded by two independent panel members using the GRADE approach, with disagreements adjudicated by a third methodologist. Downgrading domains: </w:t>
      </w:r>
      <w:proofErr w:type="spellStart"/>
      <w:r w:rsidRPr="007C5F9A">
        <w:rPr>
          <w:rFonts w:eastAsia="Times New Roman"/>
          <w:iCs/>
          <w:color w:val="000000"/>
          <w:kern w:val="0"/>
          <w:sz w:val="20"/>
          <w:szCs w:val="20"/>
          <w:lang w:eastAsia="en-US"/>
          <w14:ligatures w14:val="none"/>
        </w:rPr>
        <w:t>RoB</w:t>
      </w:r>
      <w:proofErr w:type="spellEnd"/>
      <w:r w:rsidRPr="007C5F9A">
        <w:rPr>
          <w:rFonts w:eastAsia="Times New Roman"/>
          <w:iCs/>
          <w:color w:val="000000"/>
          <w:kern w:val="0"/>
          <w:sz w:val="20"/>
          <w:szCs w:val="20"/>
          <w:lang w:eastAsia="en-US"/>
          <w14:ligatures w14:val="none"/>
        </w:rPr>
        <w:t xml:space="preserve"> = risk of bias; INC = inconsistency; IND = indirectness; IMP = imprecision; PUB = publication bias. Diagnostic accuracy values use histopathology as the reference standard unless otherwise indicated. All supporting studies listed in this table are primary studies; no review, consensus statement, guideline, or editorial was used for GRADE grading.</w:t>
      </w:r>
      <w:r>
        <w:rPr>
          <w:rFonts w:hint="eastAsia"/>
          <w:iCs/>
          <w:color w:val="000000"/>
          <w:kern w:val="0"/>
          <w:sz w:val="20"/>
          <w:szCs w:val="20"/>
          <w14:ligatures w14:val="none"/>
        </w:rPr>
        <w:t xml:space="preserve"> </w:t>
      </w:r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Voting: no topic-specific abstentions or recusals occurred; all 48 voting experts cast valid votes on each statement, and agreement rates use 48 as the denominator (91.7% = 44/48; 89.6% = 43/48; 87.5% = 42/48; 85.4% = 41/48; 83.3% = 40/48; 81.2% = 39/48).</w:t>
      </w:r>
      <w:r w:rsidRPr="007C5F9A">
        <w:rPr>
          <w:rFonts w:eastAsia="宋体"/>
          <w:color w:val="000000"/>
          <w:kern w:val="0"/>
          <w:sz w:val="22"/>
          <w:szCs w:val="22"/>
          <w14:ligatures w14:val="none"/>
        </w:rPr>
        <w:t xml:space="preserve"> </w:t>
      </w:r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Excluded statements: two draft statements (biologic-agent selection in IBD; diagnosis </w:t>
      </w:r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lastRenderedPageBreak/>
        <w:t>of special intestinal lesions) did not reach the 80% agreement threshold and are not presented as formal recommendations; their exact agreement rates and reasons for disagreement are documented in the original voting records of the consensus working group.</w:t>
      </w:r>
      <w:r w:rsidRPr="007C5F9A">
        <w:rPr>
          <w:rFonts w:eastAsia="宋体"/>
          <w:color w:val="000000"/>
          <w:kern w:val="0"/>
          <w:sz w:val="22"/>
          <w:szCs w:val="22"/>
          <w14:ligatures w14:val="none"/>
        </w:rPr>
        <w:t xml:space="preserve"> </w:t>
      </w:r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AUROC, area under the receiver operating characteristic curve; CD, Crohn’s disease; CI, confidence interval; CLE, confocal laser endomicroscopy; CRC, colorectal cancer; EMR, endoscopic mucosal resection; ESD, endoscopic submucosal dissection; FICE, flexible spectral imaging color enhancement; GI, gastrointestinal; GRADE, Grading of Recommendations Assessment, Development and Evaluation; HR, hazard ratio; </w:t>
      </w:r>
      <w:r w:rsidRPr="007C5F9A">
        <w:rPr>
          <w:rFonts w:eastAsia="宋体"/>
          <w:color w:val="000000"/>
          <w:kern w:val="0"/>
          <w:sz w:val="20"/>
          <w:szCs w:val="20"/>
          <w14:ligatures w14:val="none"/>
        </w:rPr>
        <w:t xml:space="preserve">IDEA, </w:t>
      </w:r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IBD Differentiation based on Endomicroscopic Assessment</w:t>
      </w:r>
      <w:r w:rsidRPr="007C5F9A">
        <w:rPr>
          <w:rFonts w:eastAsia="宋体"/>
          <w:color w:val="000000"/>
          <w:kern w:val="0"/>
          <w:sz w:val="20"/>
          <w:szCs w:val="20"/>
          <w14:ligatures w14:val="none"/>
        </w:rPr>
        <w:t xml:space="preserve">; </w:t>
      </w:r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IBD, inflammatory bowel disease; IBS, irritable bowel syndrome; IBS-D, diarrhea-predominant irritable bowel syndrome; IMP, imprecision; INC, inconsistency; IND, indirectness; NPV, negative predictive value; OR, odds ratio; </w:t>
      </w:r>
      <w:proofErr w:type="spellStart"/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pCLE</w:t>
      </w:r>
      <w:proofErr w:type="spellEnd"/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, probe-based confocal laser endomicroscopy; PMID, PubMed identifier; PPV, positive predictive value; R0, microscopically margin-negative resection; PUB, publication bias; RCT, randomized controlled trial; </w:t>
      </w:r>
      <w:proofErr w:type="spellStart"/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RoB</w:t>
      </w:r>
      <w:proofErr w:type="spellEnd"/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, risk of bias; </w:t>
      </w:r>
      <w:r w:rsidRPr="007C5F9A">
        <w:rPr>
          <w:rFonts w:eastAsia="宋体"/>
          <w:color w:val="000000"/>
          <w:kern w:val="0"/>
          <w:sz w:val="20"/>
          <w:szCs w:val="20"/>
          <w14:ligatures w14:val="none"/>
        </w:rPr>
        <w:t xml:space="preserve">SM2+, </w:t>
      </w:r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deep submucosal invasion or deeper</w:t>
      </w:r>
      <w:r w:rsidRPr="007C5F9A">
        <w:rPr>
          <w:rFonts w:eastAsia="宋体"/>
          <w:color w:val="000000"/>
          <w:kern w:val="0"/>
          <w:sz w:val="20"/>
          <w:szCs w:val="20"/>
          <w14:ligatures w14:val="none"/>
        </w:rPr>
        <w:t xml:space="preserve">; </w:t>
      </w:r>
      <w:proofErr w:type="spellStart"/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TaTME</w:t>
      </w:r>
      <w:proofErr w:type="spellEnd"/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, </w:t>
      </w:r>
      <w:proofErr w:type="spellStart"/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transanal</w:t>
      </w:r>
      <w:proofErr w:type="spellEnd"/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 total </w:t>
      </w:r>
      <w:proofErr w:type="spellStart"/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mesorectal</w:t>
      </w:r>
      <w:proofErr w:type="spellEnd"/>
      <w:r w:rsidRPr="007C5F9A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 excision; UC, ulcerative colitis.</w:t>
      </w:r>
    </w:p>
    <w:sectPr w:rsidR="007C5F9A" w:rsidRPr="007C5F9A" w:rsidSect="007C5F9A">
      <w:footerReference w:type="default" r:id="rId6"/>
      <w:pgSz w:w="15840" w:h="12240" w:orient="landscape"/>
      <w:pgMar w:top="900" w:right="900" w:bottom="900" w:left="90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05B03" w14:textId="77777777" w:rsidR="00C77511" w:rsidRDefault="00C77511" w:rsidP="004F13F7">
      <w:pPr>
        <w:spacing w:after="0" w:line="240" w:lineRule="auto"/>
      </w:pPr>
      <w:r>
        <w:separator/>
      </w:r>
    </w:p>
  </w:endnote>
  <w:endnote w:type="continuationSeparator" w:id="0">
    <w:p w14:paraId="0E0F0A9E" w14:textId="77777777" w:rsidR="00C77511" w:rsidRDefault="00C77511" w:rsidP="004F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1230" w14:textId="77777777" w:rsidR="007C5F9A" w:rsidRDefault="007C5F9A">
    <w:pPr>
      <w:spacing w:after="0"/>
      <w:jc w:val="right"/>
    </w:pPr>
    <w:r>
      <w:rPr>
        <w:sz w:val="22"/>
      </w:rPr>
      <w:fldChar w:fldCharType="begin"/>
    </w:r>
    <w:r>
      <w:instrText xml:space="preserve"> PAGE </w:instrText>
    </w:r>
    <w:r>
      <w:rPr>
        <w:sz w:val="22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364C8" w14:textId="77777777" w:rsidR="00C77511" w:rsidRDefault="00C77511" w:rsidP="004F13F7">
      <w:pPr>
        <w:spacing w:after="0" w:line="240" w:lineRule="auto"/>
      </w:pPr>
      <w:r>
        <w:separator/>
      </w:r>
    </w:p>
  </w:footnote>
  <w:footnote w:type="continuationSeparator" w:id="0">
    <w:p w14:paraId="545F8EFA" w14:textId="77777777" w:rsidR="00C77511" w:rsidRDefault="00C77511" w:rsidP="004F13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F42"/>
    <w:rsid w:val="004638D7"/>
    <w:rsid w:val="004F13F7"/>
    <w:rsid w:val="004F4B29"/>
    <w:rsid w:val="007C5F9A"/>
    <w:rsid w:val="00844F42"/>
    <w:rsid w:val="008A7252"/>
    <w:rsid w:val="00C77511"/>
    <w:rsid w:val="00CA47A4"/>
    <w:rsid w:val="00D62B6E"/>
    <w:rsid w:val="00D77103"/>
    <w:rsid w:val="00F3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04105"/>
  <w15:chartTrackingRefBased/>
  <w15:docId w15:val="{857FC78A-0E03-4043-A2B4-B9C58F80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10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44F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F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F42"/>
    <w:pPr>
      <w:keepNext/>
      <w:keepLines/>
      <w:spacing w:before="80" w:after="40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F42"/>
    <w:pPr>
      <w:keepNext/>
      <w:keepLines/>
      <w:spacing w:before="80" w:after="40"/>
      <w:outlineLvl w:val="4"/>
    </w:pPr>
    <w:rPr>
      <w:rFonts w:asciiTheme="minorHAnsi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F42"/>
    <w:pPr>
      <w:keepNext/>
      <w:keepLines/>
      <w:spacing w:before="40" w:after="0"/>
      <w:outlineLvl w:val="5"/>
    </w:pPr>
    <w:rPr>
      <w:rFonts w:asciiTheme="minorHAnsi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F42"/>
    <w:pPr>
      <w:keepNext/>
      <w:keepLines/>
      <w:spacing w:before="40" w:after="0"/>
      <w:outlineLvl w:val="6"/>
    </w:pPr>
    <w:rPr>
      <w:rFonts w:asciiTheme="minorHAnsi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F42"/>
    <w:pPr>
      <w:keepNext/>
      <w:keepLines/>
      <w:spacing w:after="0"/>
      <w:outlineLvl w:val="7"/>
    </w:pPr>
    <w:rPr>
      <w:rFonts w:asciiTheme="minorHAnsi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F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44F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44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44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44F42"/>
    <w:rPr>
      <w:rFonts w:asciiTheme="minorHAnsi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44F42"/>
    <w:rPr>
      <w:rFonts w:asciiTheme="minorHAnsi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44F42"/>
    <w:rPr>
      <w:rFonts w:asciiTheme="minorHAnsi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44F42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44F42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44F4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44F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44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F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44F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4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44F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4F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4F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4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44F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44F4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F13F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F13F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F13F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F13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1275</Words>
  <Characters>7269</Characters>
  <Application>Microsoft Office Word</Application>
  <DocSecurity>0</DocSecurity>
  <Lines>60</Lines>
  <Paragraphs>17</Paragraphs>
  <ScaleCrop>false</ScaleCrop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4</cp:revision>
  <dcterms:created xsi:type="dcterms:W3CDTF">2026-10-29T07:10:00Z</dcterms:created>
  <dcterms:modified xsi:type="dcterms:W3CDTF">2026-10-29T07:17:00Z</dcterms:modified>
</cp:coreProperties>
</file>