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E26" w:rsidRDefault="00205B8E">
      <w:pPr>
        <w:spacing w:line="312" w:lineRule="auto"/>
        <w:ind w:right="-7"/>
        <w:contextualSpacing/>
        <w:jc w:val="left"/>
        <w:rPr>
          <w:rFonts w:ascii="Times New Roman" w:eastAsia="宋体" w:hAnsi="Times New Roman" w:cs="Times New Roman"/>
          <w:kern w:val="0"/>
          <w:sz w:val="22"/>
          <w:szCs w:val="22"/>
        </w:rPr>
      </w:pPr>
      <w:r>
        <w:rPr>
          <w:rFonts w:ascii="Times New Roman" w:eastAsia="宋体" w:hAnsi="Times New Roman" w:cs="Times New Roman" w:hint="eastAsia"/>
          <w:kern w:val="36"/>
          <w:sz w:val="22"/>
          <w:szCs w:val="22"/>
        </w:rPr>
        <w:t xml:space="preserve">Supplementary Figure S3. </w:t>
      </w:r>
      <w:r>
        <w:rPr>
          <w:rFonts w:ascii="Times New Roman" w:eastAsia="宋体" w:hAnsi="Times New Roman" w:cs="Times New Roman"/>
          <w:kern w:val="0"/>
          <w:sz w:val="22"/>
          <w:szCs w:val="22"/>
        </w:rPr>
        <w:t>Tracking confounders when Scalp Coverage Scoring is employed during longitudinal studies.</w:t>
      </w:r>
    </w:p>
    <w:p w:rsidR="00C00E26" w:rsidRDefault="00C00E26">
      <w:pPr>
        <w:spacing w:line="312" w:lineRule="auto"/>
        <w:ind w:right="-7"/>
        <w:contextualSpacing/>
        <w:jc w:val="left"/>
        <w:rPr>
          <w:rFonts w:ascii="Times New Roman" w:eastAsia="宋体" w:hAnsi="Times New Roman" w:cs="Times New Roman"/>
          <w:kern w:val="0"/>
          <w:sz w:val="22"/>
          <w:szCs w:val="22"/>
        </w:rPr>
      </w:pPr>
    </w:p>
    <w:p w:rsidR="00C00E26" w:rsidRDefault="00205B8E">
      <w:pPr>
        <w:spacing w:line="312" w:lineRule="auto"/>
        <w:ind w:right="-7"/>
        <w:contextualSpacing/>
        <w:jc w:val="left"/>
        <w:rPr>
          <w:rFonts w:ascii="Times New Roman" w:eastAsia="宋体" w:hAnsi="Times New Roman" w:cs="Times New Roman"/>
          <w:kern w:val="0"/>
          <w:sz w:val="22"/>
          <w:szCs w:val="22"/>
          <w:highlight w:val="yellow"/>
        </w:rPr>
      </w:pPr>
      <w:r>
        <w:rPr>
          <w:rFonts w:ascii="Times New Roman" w:eastAsia="宋体" w:hAnsi="Times New Roman" w:cs="Times New Roman"/>
          <w:kern w:val="0"/>
          <w:sz w:val="22"/>
          <w:szCs w:val="22"/>
        </w:rPr>
        <w:t xml:space="preserve">The fundamental question addressed was whether fluctuations in Scalp Coverage Scoring (SCS), representing clinically perceived coverage, </w:t>
      </w:r>
      <w:r>
        <w:rPr>
          <w:rFonts w:ascii="Times New Roman" w:eastAsia="宋体" w:hAnsi="Times New Roman" w:cs="Times New Roman"/>
          <w:kern w:val="0"/>
          <w:sz w:val="22"/>
          <w:szCs w:val="22"/>
        </w:rPr>
        <w:t>consistently mirror changes in hair productivity over time. Clinicians need to understand when SCS is applicable and become aware of potential confounders, particularly when interpreting the effectiveness of drug treatments. Among the confounders, we ident</w:t>
      </w:r>
      <w:r>
        <w:rPr>
          <w:rFonts w:ascii="Times New Roman" w:eastAsia="宋体" w:hAnsi="Times New Roman" w:cs="Times New Roman"/>
          <w:kern w:val="0"/>
          <w:sz w:val="22"/>
          <w:szCs w:val="22"/>
        </w:rPr>
        <w:t>ified abrupt changes in hair cycling and modifications in hairstyle and length as significant factors that can disrupt the translation of SCS values into measures of hair productivity through the HMI Abacus.</w:t>
      </w:r>
      <w:r>
        <w:rPr>
          <w:rFonts w:ascii="Times New Roman" w:eastAsia="宋体" w:hAnsi="Times New Roman" w:cs="Times New Roman"/>
          <w:kern w:val="0"/>
          <w:sz w:val="22"/>
          <w:szCs w:val="22"/>
          <w:highlight w:val="yellow"/>
        </w:rPr>
        <w:t xml:space="preserve"> </w:t>
      </w:r>
      <w:r>
        <w:rPr>
          <w:rFonts w:ascii="Times New Roman" w:eastAsia="宋体" w:hAnsi="Times New Roman" w:cs="Times New Roman" w:hint="eastAsia"/>
          <w:kern w:val="0"/>
          <w:sz w:val="22"/>
          <w:szCs w:val="22"/>
          <w:highlight w:val="yellow"/>
        </w:rPr>
        <w:t>In this study, we tested the robustness of SCS t</w:t>
      </w:r>
      <w:r>
        <w:rPr>
          <w:rFonts w:ascii="Times New Roman" w:eastAsia="宋体" w:hAnsi="Times New Roman" w:cs="Times New Roman" w:hint="eastAsia"/>
          <w:kern w:val="0"/>
          <w:sz w:val="22"/>
          <w:szCs w:val="22"/>
          <w:highlight w:val="yellow"/>
        </w:rPr>
        <w:t>hrough a total of 396 scores during a longitudinal study involving serial images over a three-year duration of the best responder (1 subject</w:t>
      </w:r>
      <w:r>
        <w:rPr>
          <w:rFonts w:ascii="Times New Roman" w:eastAsia="宋体" w:hAnsi="Times New Roman" w:cs="Times New Roman" w:hint="eastAsia"/>
          <w:kern w:val="0"/>
          <w:sz w:val="22"/>
          <w:szCs w:val="22"/>
          <w:highlight w:val="yellow"/>
          <w:vertAlign w:val="superscript"/>
        </w:rPr>
        <w:t>1-3</w:t>
      </w:r>
      <w:r>
        <w:rPr>
          <w:rFonts w:ascii="Times New Roman" w:eastAsia="宋体" w:hAnsi="Times New Roman" w:cs="Times New Roman" w:hint="eastAsia"/>
          <w:kern w:val="0"/>
          <w:sz w:val="22"/>
          <w:szCs w:val="22"/>
          <w:highlight w:val="yellow"/>
        </w:rPr>
        <w:t>). The baseline covered a 1 year pre-study  period with 3 imaging sessions without any drug intake or drug applic</w:t>
      </w:r>
      <w:r>
        <w:rPr>
          <w:rFonts w:ascii="Times New Roman" w:eastAsia="宋体" w:hAnsi="Times New Roman" w:cs="Times New Roman" w:hint="eastAsia"/>
          <w:kern w:val="0"/>
          <w:sz w:val="22"/>
          <w:szCs w:val="22"/>
          <w:highlight w:val="yellow"/>
        </w:rPr>
        <w:t>ation (shown in FigureS3 panel a; 3 images top left).</w:t>
      </w:r>
    </w:p>
    <w:p w:rsidR="00C00E26" w:rsidRDefault="00205B8E">
      <w:pPr>
        <w:spacing w:line="312" w:lineRule="auto"/>
        <w:ind w:right="-7"/>
        <w:contextualSpacing/>
        <w:jc w:val="left"/>
        <w:rPr>
          <w:rFonts w:ascii="Times New Roman" w:eastAsia="宋体" w:hAnsi="Times New Roman" w:cs="Times New Roman"/>
          <w:kern w:val="0"/>
          <w:sz w:val="22"/>
          <w:szCs w:val="22"/>
        </w:rPr>
      </w:pPr>
      <w:r>
        <w:rPr>
          <w:rFonts w:ascii="Times New Roman" w:eastAsia="宋体" w:hAnsi="Times New Roman" w:cs="Times New Roman" w:hint="eastAsia"/>
          <w:kern w:val="0"/>
          <w:sz w:val="22"/>
          <w:szCs w:val="22"/>
          <w:highlight w:val="yellow"/>
        </w:rPr>
        <w:t>There were 132 SCS baseline data computed from triplicate scorings by the principal investigator and a single scoring session by the pool of trained observers.</w:t>
      </w:r>
    </w:p>
    <w:p w:rsidR="00C00E26" w:rsidRDefault="00205B8E">
      <w:pPr>
        <w:spacing w:line="312" w:lineRule="auto"/>
        <w:ind w:right="-7"/>
        <w:contextualSpacing/>
        <w:jc w:val="left"/>
        <w:rPr>
          <w:rFonts w:ascii="Times New Roman" w:eastAsia="宋体" w:hAnsi="Times New Roman" w:cs="Times New Roman"/>
          <w:kern w:val="0"/>
          <w:sz w:val="22"/>
          <w:szCs w:val="22"/>
        </w:rPr>
      </w:pPr>
      <w:r>
        <w:rPr>
          <w:rFonts w:ascii="Times New Roman" w:eastAsia="宋体" w:hAnsi="Times New Roman" w:cs="Times New Roman" w:hint="eastAsia"/>
          <w:kern w:val="0"/>
          <w:sz w:val="22"/>
          <w:szCs w:val="22"/>
        </w:rPr>
        <w:t>The follow-up on treatment comprised 6 glo</w:t>
      </w:r>
      <w:r>
        <w:rPr>
          <w:rFonts w:ascii="Times New Roman" w:eastAsia="宋体" w:hAnsi="Times New Roman" w:cs="Times New Roman" w:hint="eastAsia"/>
          <w:kern w:val="0"/>
          <w:sz w:val="22"/>
          <w:szCs w:val="22"/>
        </w:rPr>
        <w:t>bal images covering a total 24 months (264 SCS Scores).</w:t>
      </w:r>
      <w:r>
        <w:rPr>
          <w:rFonts w:ascii="Times New Roman" w:eastAsia="宋体" w:hAnsi="Times New Roman" w:cs="Times New Roman" w:hint="eastAsia"/>
          <w:kern w:val="0"/>
          <w:sz w:val="22"/>
          <w:szCs w:val="22"/>
        </w:rPr>
        <w:t xml:space="preserve"> </w:t>
      </w:r>
      <w:r>
        <w:rPr>
          <w:rFonts w:ascii="Times New Roman" w:eastAsia="宋体" w:hAnsi="Times New Roman" w:cs="Times New Roman"/>
          <w:kern w:val="0"/>
          <w:sz w:val="22"/>
          <w:szCs w:val="22"/>
        </w:rPr>
        <w:t xml:space="preserve">The interested reader will find a detailed explanation of hair length as a confounder for SCS-TTTC correlations by consulting the original set of global images and comments in Figure 10 in a previous </w:t>
      </w:r>
      <w:r>
        <w:rPr>
          <w:rFonts w:ascii="Times New Roman" w:eastAsia="宋体" w:hAnsi="Times New Roman" w:cs="Times New Roman"/>
          <w:kern w:val="0"/>
          <w:sz w:val="22"/>
          <w:szCs w:val="22"/>
        </w:rPr>
        <w:t>paper</w:t>
      </w:r>
      <w:r>
        <w:rPr>
          <w:rFonts w:ascii="Times New Roman" w:eastAsia="宋体" w:hAnsi="Times New Roman" w:cs="Times New Roman"/>
          <w:kern w:val="0"/>
          <w:sz w:val="22"/>
          <w:szCs w:val="22"/>
          <w:vertAlign w:val="superscript"/>
        </w:rPr>
        <w:t>1</w:t>
      </w:r>
      <w:r>
        <w:rPr>
          <w:rFonts w:ascii="Times New Roman" w:eastAsia="宋体" w:hAnsi="Times New Roman" w:cs="Times New Roman"/>
          <w:kern w:val="0"/>
          <w:sz w:val="22"/>
          <w:szCs w:val="22"/>
        </w:rPr>
        <w:t>). In order to prevent time-related fluctuations of SCS on the 9 global images displayed according to time (</w:t>
      </w:r>
      <w:bookmarkStart w:id="0" w:name="OLE_LINK11"/>
      <w:r>
        <w:rPr>
          <w:rFonts w:ascii="Times New Roman" w:eastAsia="宋体" w:hAnsi="Times New Roman" w:cs="Times New Roman"/>
          <w:kern w:val="0"/>
          <w:sz w:val="22"/>
          <w:szCs w:val="22"/>
        </w:rPr>
        <w:t>Figure S3</w:t>
      </w:r>
      <w:bookmarkEnd w:id="0"/>
      <w:r>
        <w:rPr>
          <w:rFonts w:ascii="Times New Roman" w:eastAsia="宋体" w:hAnsi="Times New Roman" w:cs="Times New Roman"/>
          <w:kern w:val="0"/>
          <w:sz w:val="22"/>
          <w:szCs w:val="22"/>
        </w:rPr>
        <w:t>a) were randomised. The baseline SCS fluctuations (panels a</w:t>
      </w:r>
      <w:r>
        <w:rPr>
          <w:rFonts w:ascii="Times New Roman" w:eastAsia="宋体" w:hAnsi="Times New Roman" w:cs="Times New Roman" w:hint="eastAsia"/>
          <w:kern w:val="0"/>
          <w:sz w:val="22"/>
          <w:szCs w:val="22"/>
        </w:rPr>
        <w:t>1</w:t>
      </w:r>
      <w:r>
        <w:rPr>
          <w:rFonts w:ascii="Times New Roman" w:eastAsia="宋体" w:hAnsi="Times New Roman" w:cs="Times New Roman"/>
          <w:kern w:val="0"/>
          <w:sz w:val="22"/>
          <w:szCs w:val="22"/>
        </w:rPr>
        <w:t>. Baseline SCS 0) were grouped as time 0 (</w:t>
      </w:r>
      <w:r>
        <w:rPr>
          <w:rFonts w:ascii="Times New Roman" w:eastAsia="宋体" w:hAnsi="Times New Roman" w:cs="Times New Roman" w:hint="eastAsia"/>
          <w:kern w:val="0"/>
          <w:sz w:val="22"/>
          <w:szCs w:val="22"/>
        </w:rPr>
        <w:t>Figure S3b</w:t>
      </w:r>
      <w:r>
        <w:rPr>
          <w:rFonts w:ascii="Times New Roman" w:eastAsia="宋体" w:hAnsi="Times New Roman" w:cs="Times New Roman"/>
          <w:kern w:val="0"/>
          <w:sz w:val="22"/>
          <w:szCs w:val="22"/>
        </w:rPr>
        <w:t xml:space="preserve"> shows average SCS on global views recorded at the recruitment phase of volunteers (year-1) and visits 1 month before (m-1) and on the start of drug trial (m0). According to the study protocol, there was a first phase with 3-monthly visits (</w:t>
      </w:r>
      <w:r>
        <w:rPr>
          <w:rFonts w:ascii="Times New Roman" w:eastAsia="宋体" w:hAnsi="Times New Roman" w:cs="Times New Roman" w:hint="eastAsia"/>
          <w:kern w:val="0"/>
          <w:sz w:val="22"/>
          <w:szCs w:val="22"/>
        </w:rPr>
        <w:t>Figure S3</w:t>
      </w:r>
      <w:r>
        <w:rPr>
          <w:rFonts w:ascii="Times New Roman" w:eastAsia="宋体" w:hAnsi="Times New Roman" w:cs="Times New Roman"/>
          <w:kern w:val="0"/>
          <w:sz w:val="22"/>
          <w:szCs w:val="22"/>
        </w:rPr>
        <w:t>a</w:t>
      </w:r>
      <w:r>
        <w:rPr>
          <w:rFonts w:ascii="Times New Roman" w:eastAsia="宋体" w:hAnsi="Times New Roman" w:cs="Times New Roman" w:hint="eastAsia"/>
          <w:kern w:val="0"/>
          <w:sz w:val="22"/>
          <w:szCs w:val="22"/>
        </w:rPr>
        <w:t>2</w:t>
      </w:r>
      <w:r>
        <w:rPr>
          <w:rFonts w:ascii="Times New Roman" w:eastAsia="宋体" w:hAnsi="Times New Roman" w:cs="Times New Roman"/>
          <w:kern w:val="0"/>
          <w:sz w:val="22"/>
          <w:szCs w:val="22"/>
        </w:rPr>
        <w:t xml:space="preserve"> m1,</w:t>
      </w:r>
      <w:r>
        <w:rPr>
          <w:rFonts w:ascii="Times New Roman" w:eastAsia="宋体" w:hAnsi="Times New Roman" w:cs="Times New Roman"/>
          <w:kern w:val="0"/>
          <w:sz w:val="22"/>
          <w:szCs w:val="22"/>
        </w:rPr>
        <w:t xml:space="preserve"> m2 and m3) on combined treatment with oral finasteride (Propecia™; 1mg/day) and topical minoxidil 5% lotion (1ml once a day; Alostil™) ending at 2 years after initiation of oral drug treatment (imaging at time-points m3, m6, m12 and m24 show results witho</w:t>
      </w:r>
      <w:r>
        <w:rPr>
          <w:rFonts w:ascii="Times New Roman" w:eastAsia="宋体" w:hAnsi="Times New Roman" w:cs="Times New Roman"/>
          <w:kern w:val="0"/>
          <w:sz w:val="22"/>
          <w:szCs w:val="22"/>
        </w:rPr>
        <w:t xml:space="preserve">ut topical lotion; </w:t>
      </w:r>
      <w:r>
        <w:rPr>
          <w:rFonts w:ascii="Times New Roman" w:eastAsia="宋体" w:hAnsi="Times New Roman" w:cs="Times New Roman" w:hint="eastAsia"/>
          <w:kern w:val="0"/>
          <w:sz w:val="22"/>
          <w:szCs w:val="22"/>
        </w:rPr>
        <w:t>Figure S3</w:t>
      </w:r>
      <w:r>
        <w:rPr>
          <w:rFonts w:ascii="Times New Roman" w:eastAsia="宋体" w:hAnsi="Times New Roman" w:cs="Times New Roman"/>
          <w:kern w:val="0"/>
          <w:sz w:val="22"/>
          <w:szCs w:val="22"/>
        </w:rPr>
        <w:t>a</w:t>
      </w:r>
      <w:r>
        <w:rPr>
          <w:rFonts w:ascii="Times New Roman" w:eastAsia="宋体" w:hAnsi="Times New Roman" w:cs="Times New Roman" w:hint="eastAsia"/>
          <w:kern w:val="0"/>
          <w:sz w:val="22"/>
          <w:szCs w:val="22"/>
        </w:rPr>
        <w:t>3</w:t>
      </w:r>
      <w:r>
        <w:rPr>
          <w:rFonts w:ascii="Times New Roman" w:eastAsia="宋体" w:hAnsi="Times New Roman" w:cs="Times New Roman"/>
          <w:kern w:val="0"/>
          <w:sz w:val="22"/>
          <w:szCs w:val="22"/>
        </w:rPr>
        <w:t>).</w:t>
      </w:r>
    </w:p>
    <w:p w:rsidR="00C00E26" w:rsidRDefault="00C00E26">
      <w:pPr>
        <w:spacing w:line="312" w:lineRule="auto"/>
        <w:ind w:right="-7"/>
        <w:contextualSpacing/>
        <w:jc w:val="left"/>
        <w:rPr>
          <w:rFonts w:ascii="Times New Roman" w:eastAsia="宋体" w:hAnsi="Times New Roman" w:cs="Times New Roman"/>
          <w:kern w:val="0"/>
          <w:sz w:val="22"/>
          <w:szCs w:val="22"/>
        </w:rPr>
      </w:pPr>
    </w:p>
    <w:p w:rsidR="00C00E26" w:rsidRDefault="00205B8E">
      <w:pPr>
        <w:spacing w:line="312" w:lineRule="auto"/>
        <w:ind w:right="-7"/>
        <w:contextualSpacing/>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There were 2 confounders: a styling effect with increased average SCS at m1 without statistically significant changes of productivity and increased SCS at month 6 when productivity was reduced after weaning</w:t>
      </w:r>
      <w:r>
        <w:rPr>
          <w:rFonts w:ascii="Times New Roman" w:eastAsia="宋体" w:hAnsi="Times New Roman" w:cs="Times New Roman"/>
          <w:kern w:val="0"/>
          <w:sz w:val="22"/>
          <w:szCs w:val="22"/>
          <w:highlight w:val="yellow"/>
        </w:rPr>
        <w:t xml:space="preserve"> of</w:t>
      </w:r>
      <w:r>
        <w:rPr>
          <w:rFonts w:ascii="Times New Roman" w:eastAsia="宋体" w:hAnsi="Times New Roman" w:cs="Times New Roman" w:hint="eastAsia"/>
          <w:kern w:val="0"/>
          <w:sz w:val="22"/>
          <w:szCs w:val="22"/>
          <w:highlight w:val="yellow"/>
        </w:rPr>
        <w:t xml:space="preserve">f </w:t>
      </w:r>
      <w:r>
        <w:rPr>
          <w:rFonts w:ascii="Times New Roman" w:eastAsia="宋体" w:hAnsi="Times New Roman" w:cs="Times New Roman"/>
          <w:kern w:val="0"/>
          <w:sz w:val="22"/>
          <w:szCs w:val="22"/>
        </w:rPr>
        <w:t>minoxidil w</w:t>
      </w:r>
      <w:r>
        <w:rPr>
          <w:rFonts w:ascii="Times New Roman" w:eastAsia="宋体" w:hAnsi="Times New Roman" w:cs="Times New Roman"/>
          <w:kern w:val="0"/>
          <w:sz w:val="22"/>
          <w:szCs w:val="22"/>
        </w:rPr>
        <w:t xml:space="preserve">ith hair being retained in telogen (shift from anagen to telogen between m3 to m6). A new cycle was initiated after exogen, and it took a while (after m12) for SCS to recover perfectly. This is associated with re-cycling, as </w:t>
      </w:r>
      <w:r>
        <w:rPr>
          <w:rFonts w:ascii="Times New Roman" w:eastAsia="宋体" w:hAnsi="Times New Roman" w:cs="Times New Roman"/>
          <w:kern w:val="0"/>
          <w:sz w:val="22"/>
          <w:szCs w:val="22"/>
        </w:rPr>
        <w:lastRenderedPageBreak/>
        <w:t>shown in panels a.C under the c</w:t>
      </w:r>
      <w:r>
        <w:rPr>
          <w:rFonts w:ascii="Times New Roman" w:eastAsia="宋体" w:hAnsi="Times New Roman" w:cs="Times New Roman"/>
          <w:kern w:val="0"/>
          <w:sz w:val="22"/>
          <w:szCs w:val="22"/>
        </w:rPr>
        <w:t>ontinuous oral intake of finasteride as a monotherapy (</w:t>
      </w:r>
      <w:r>
        <w:rPr>
          <w:rFonts w:ascii="Times New Roman" w:eastAsia="宋体" w:hAnsi="Times New Roman" w:cs="Times New Roman" w:hint="eastAsia"/>
          <w:kern w:val="0"/>
          <w:sz w:val="22"/>
          <w:szCs w:val="22"/>
        </w:rPr>
        <w:t>Figure S3</w:t>
      </w:r>
      <w:r>
        <w:rPr>
          <w:rFonts w:ascii="Times New Roman" w:eastAsia="宋体" w:hAnsi="Times New Roman" w:cs="Times New Roman"/>
          <w:kern w:val="0"/>
          <w:sz w:val="22"/>
          <w:szCs w:val="22"/>
        </w:rPr>
        <w:t>b; raised SCS from m12 to m24). Overall, the correlation between SCS by 8 duly trained dermatologists who completed the session vs the principal investigator (</w:t>
      </w:r>
      <w:r>
        <w:rPr>
          <w:rFonts w:ascii="Times New Roman" w:eastAsia="宋体" w:hAnsi="Times New Roman" w:cs="Times New Roman" w:hint="eastAsia"/>
          <w:kern w:val="0"/>
          <w:sz w:val="22"/>
          <w:szCs w:val="22"/>
        </w:rPr>
        <w:t>Figure S3c</w:t>
      </w:r>
      <w:r>
        <w:rPr>
          <w:rFonts w:ascii="Times New Roman" w:eastAsia="宋体" w:hAnsi="Times New Roman" w:cs="Times New Roman"/>
          <w:kern w:val="0"/>
          <w:sz w:val="22"/>
          <w:szCs w:val="22"/>
        </w:rPr>
        <w:t>; r</w:t>
      </w:r>
      <w:r>
        <w:rPr>
          <w:rFonts w:ascii="Times New Roman" w:eastAsia="宋体" w:hAnsi="Times New Roman" w:cs="Times New Roman"/>
          <w:kern w:val="0"/>
          <w:sz w:val="22"/>
          <w:szCs w:val="22"/>
          <w:vertAlign w:val="superscript"/>
        </w:rPr>
        <w:t>2</w:t>
      </w:r>
      <w:r>
        <w:rPr>
          <w:rFonts w:ascii="Times New Roman" w:eastAsia="宋体" w:hAnsi="Times New Roman" w:cs="Times New Roman"/>
          <w:kern w:val="0"/>
          <w:sz w:val="22"/>
          <w:szCs w:val="22"/>
        </w:rPr>
        <w:t>=0.83) supports the</w:t>
      </w:r>
      <w:r>
        <w:rPr>
          <w:rFonts w:ascii="Times New Roman" w:eastAsia="宋体" w:hAnsi="Times New Roman" w:cs="Times New Roman"/>
          <w:kern w:val="0"/>
          <w:sz w:val="22"/>
          <w:szCs w:val="22"/>
        </w:rPr>
        <w:t xml:space="preserve"> HMI approach. This outcome is contingent upon maintaining a standardized hairstyle. It corroborates our prior findings from a six-month randomized, placebo-controlled clinical trial involving a topical anti-androgen across three centers (two in France and</w:t>
      </w:r>
      <w:r>
        <w:rPr>
          <w:rFonts w:ascii="Times New Roman" w:eastAsia="宋体" w:hAnsi="Times New Roman" w:cs="Times New Roman"/>
          <w:kern w:val="0"/>
          <w:sz w:val="22"/>
          <w:szCs w:val="22"/>
        </w:rPr>
        <w:t xml:space="preserve"> two in Belgium) involving 200 males with patterned hair loss. This trial, which included 4,800 scorings both in vivo and via computer screen images and a phototrichogram study (unpublished data</w:t>
      </w:r>
      <w:r>
        <w:rPr>
          <w:rFonts w:ascii="Times New Roman" w:eastAsia="Times New Roman" w:hAnsi="Times New Roman" w:cs="Times New Roman"/>
          <w:b/>
          <w:bCs/>
          <w:kern w:val="0"/>
          <w:sz w:val="22"/>
          <w:szCs w:val="22"/>
          <w:highlight w:val="yellow"/>
        </w:rPr>
        <w:t>)</w:t>
      </w:r>
      <w:r>
        <w:rPr>
          <w:rFonts w:ascii="Times New Roman" w:eastAsia="宋体" w:hAnsi="Times New Roman" w:cs="Times New Roman"/>
          <w:b/>
          <w:bCs/>
          <w:kern w:val="0"/>
          <w:sz w:val="22"/>
          <w:szCs w:val="22"/>
          <w:highlight w:val="yellow"/>
        </w:rPr>
        <w:t xml:space="preserve"> </w:t>
      </w:r>
      <w:r>
        <w:rPr>
          <w:rFonts w:ascii="Times New Roman" w:eastAsia="宋体" w:hAnsi="Times New Roman" w:cs="Times New Roman"/>
          <w:kern w:val="0"/>
          <w:sz w:val="22"/>
          <w:szCs w:val="22"/>
        </w:rPr>
        <w:t>demonstrated that in the absence of statistically significan</w:t>
      </w:r>
      <w:r>
        <w:rPr>
          <w:rFonts w:ascii="Times New Roman" w:eastAsia="宋体" w:hAnsi="Times New Roman" w:cs="Times New Roman"/>
          <w:kern w:val="0"/>
          <w:sz w:val="22"/>
          <w:szCs w:val="22"/>
        </w:rPr>
        <w:t>t changes in hair productivity, there were no clinically perceived changes in SCS. In summary, although SCS may fluctuate due to sudden changes in hair cycling and hair length or style, the combination of scalp hair productivity with SCS could be considere</w:t>
      </w:r>
      <w:r>
        <w:rPr>
          <w:rFonts w:ascii="Times New Roman" w:eastAsia="宋体" w:hAnsi="Times New Roman" w:cs="Times New Roman"/>
          <w:kern w:val="0"/>
          <w:sz w:val="22"/>
          <w:szCs w:val="22"/>
        </w:rPr>
        <w:t>d a strong candidate for the gold standard to objectively monitor and evaluate efficacy during long-term clinical trials.</w:t>
      </w:r>
    </w:p>
    <w:p w:rsidR="00C00E26" w:rsidRDefault="00205B8E">
      <w:pPr>
        <w:spacing w:line="312" w:lineRule="auto"/>
        <w:ind w:right="-7"/>
        <w:contextualSpacing/>
        <w:jc w:val="left"/>
        <w:rPr>
          <w:rFonts w:ascii="Times New Roman" w:eastAsia="宋体" w:hAnsi="Times New Roman" w:cs="Times New Roman"/>
          <w:kern w:val="0"/>
          <w:sz w:val="22"/>
          <w:szCs w:val="22"/>
        </w:rPr>
      </w:pPr>
      <w:bookmarkStart w:id="1" w:name="_GoBack"/>
      <w:bookmarkEnd w:id="1"/>
      <w:r w:rsidRPr="00205B8E">
        <w:rPr>
          <w:rFonts w:ascii="Times New Roman" w:eastAsia="宋体" w:hAnsi="Times New Roman" w:cs="Times New Roman"/>
          <w:kern w:val="0"/>
          <w:sz w:val="22"/>
          <w:szCs w:val="22"/>
        </w:rPr>
        <w:lastRenderedPageBreak/>
        <w:drawing>
          <wp:inline distT="0" distB="0" distL="0" distR="0">
            <wp:extent cx="5274310" cy="7055165"/>
            <wp:effectExtent l="19050" t="0" r="2540" b="0"/>
            <wp:docPr id="3" name="Picture 1" descr="D:\work\XiaHe\work\01 xml-typesetting\NCS-23-14\print\NCS-23-14 Figure S3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XiaHe\work\01 xml-typesetting\NCS-23-14\print\NCS-23-14 Figure S3 final.tif"/>
                    <pic:cNvPicPr>
                      <a:picLocks noChangeAspect="1" noChangeArrowheads="1"/>
                    </pic:cNvPicPr>
                  </pic:nvPicPr>
                  <pic:blipFill>
                    <a:blip r:embed="rId5" cstate="print"/>
                    <a:srcRect/>
                    <a:stretch>
                      <a:fillRect/>
                    </a:stretch>
                  </pic:blipFill>
                  <pic:spPr bwMode="auto">
                    <a:xfrm>
                      <a:off x="0" y="0"/>
                      <a:ext cx="5274310" cy="7055165"/>
                    </a:xfrm>
                    <a:prstGeom prst="rect">
                      <a:avLst/>
                    </a:prstGeom>
                    <a:noFill/>
                    <a:ln w="9525">
                      <a:noFill/>
                      <a:miter lim="800000"/>
                      <a:headEnd/>
                      <a:tailEnd/>
                    </a:ln>
                  </pic:spPr>
                </pic:pic>
              </a:graphicData>
            </a:graphic>
          </wp:inline>
        </w:drawing>
      </w:r>
    </w:p>
    <w:p w:rsidR="00C00E26" w:rsidRDefault="00205B8E">
      <w:pPr>
        <w:spacing w:line="312" w:lineRule="auto"/>
        <w:ind w:right="-7"/>
        <w:contextualSpacing/>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References</w:t>
      </w:r>
    </w:p>
    <w:p w:rsidR="00C00E26" w:rsidRDefault="00205B8E">
      <w:pPr>
        <w:spacing w:line="312" w:lineRule="auto"/>
        <w:ind w:right="-7"/>
        <w:contextualSpacing/>
        <w:jc w:val="left"/>
        <w:rPr>
          <w:rFonts w:ascii="Times New Roman" w:eastAsia="宋体" w:hAnsi="Times New Roman" w:cs="Times New Roman"/>
          <w:kern w:val="0"/>
          <w:sz w:val="22"/>
          <w:szCs w:val="22"/>
        </w:rPr>
      </w:pPr>
      <w:r>
        <w:rPr>
          <w:rFonts w:ascii="Times New Roman" w:eastAsia="宋体" w:hAnsi="Times New Roman" w:cs="Times New Roman" w:hint="eastAsia"/>
          <w:kern w:val="0"/>
          <w:sz w:val="22"/>
          <w:szCs w:val="22"/>
        </w:rPr>
        <w:t>1. Van Neste D. Exhaustive analysis of scalp hair regression: subjective and objective perception from initial hair loss t</w:t>
      </w:r>
      <w:r>
        <w:rPr>
          <w:rFonts w:ascii="Times New Roman" w:eastAsia="宋体" w:hAnsi="Times New Roman" w:cs="Times New Roman" w:hint="eastAsia"/>
          <w:kern w:val="0"/>
          <w:sz w:val="22"/>
          <w:szCs w:val="22"/>
        </w:rPr>
        <w:t>o severe miniaturisation and drug-induced regrowth. Plast Aesthet Res 2021;8(16), doi: 10.20517/2347-9264.2020.220.</w:t>
      </w:r>
    </w:p>
    <w:p w:rsidR="00C00E26" w:rsidRDefault="00205B8E">
      <w:pPr>
        <w:spacing w:line="312" w:lineRule="auto"/>
        <w:ind w:right="-7"/>
        <w:contextualSpacing/>
        <w:jc w:val="left"/>
        <w:rPr>
          <w:rFonts w:ascii="Times New Roman" w:eastAsia="宋体" w:hAnsi="Times New Roman" w:cs="Times New Roman"/>
          <w:kern w:val="0"/>
          <w:sz w:val="22"/>
          <w:szCs w:val="22"/>
        </w:rPr>
      </w:pPr>
      <w:r>
        <w:rPr>
          <w:rFonts w:ascii="Times New Roman" w:eastAsia="宋体" w:hAnsi="Times New Roman" w:cs="Times New Roman" w:hint="eastAsia"/>
          <w:kern w:val="0"/>
          <w:sz w:val="22"/>
          <w:szCs w:val="22"/>
        </w:rPr>
        <w:t xml:space="preserve">2. Van Neste D. Placebo-controlled dose-effect studies with topical minoxidil 2% or 5% in male-patterned hair loss treated with oral </w:t>
      </w:r>
      <w:r>
        <w:rPr>
          <w:rFonts w:ascii="Times New Roman" w:eastAsia="宋体" w:hAnsi="Times New Roman" w:cs="Times New Roman" w:hint="eastAsia"/>
          <w:kern w:val="0"/>
          <w:sz w:val="22"/>
          <w:szCs w:val="22"/>
        </w:rPr>
        <w:t xml:space="preserve">finasteride employing an analytical and exhaustive </w:t>
      </w:r>
      <w:r>
        <w:rPr>
          <w:rFonts w:ascii="Times New Roman" w:eastAsia="宋体" w:hAnsi="Times New Roman" w:cs="Times New Roman" w:hint="eastAsia"/>
          <w:kern w:val="0"/>
          <w:sz w:val="22"/>
          <w:szCs w:val="22"/>
        </w:rPr>
        <w:lastRenderedPageBreak/>
        <w:t>study protocol. Skin Res Technol 2020;26(4):542-557. doi: 10.1111/srt.12827. PMID: 31957152.</w:t>
      </w:r>
    </w:p>
    <w:p w:rsidR="00C00E26" w:rsidRDefault="00205B8E">
      <w:r>
        <w:rPr>
          <w:rFonts w:ascii="Times New Roman" w:eastAsia="宋体" w:hAnsi="Times New Roman" w:cs="Times New Roman" w:hint="eastAsia"/>
          <w:kern w:val="0"/>
          <w:sz w:val="22"/>
          <w:szCs w:val="22"/>
        </w:rPr>
        <w:t xml:space="preserve">3. Van Neste D. Viable terminal scalp hair follicles constitute a necessary and sufficient biological end-organ </w:t>
      </w:r>
      <w:r>
        <w:rPr>
          <w:rFonts w:ascii="Times New Roman" w:eastAsia="宋体" w:hAnsi="Times New Roman" w:cs="Times New Roman" w:hint="eastAsia"/>
          <w:kern w:val="0"/>
          <w:sz w:val="22"/>
          <w:szCs w:val="22"/>
        </w:rPr>
        <w:t>that conditions clinical efficacy of finasteride in males with male pattern hair loss without implying reversal of miniaturized follicles. Skin Res Technol 2019;25(5):701-711. doi: 10.1111/srt.12706. PMID: 31206839.</w:t>
      </w:r>
    </w:p>
    <w:sectPr w:rsidR="00C00E26" w:rsidSect="00C00E26">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31">
      <wne:fci wne:fciName="FontColorPicker" wne:swArg="0000"/>
    </wne:keymap>
    <wne:keymap wne:kcmPrimary="0451">
      <wne:fci wne:fciName="FillColorPicker" wne:swArg="0000"/>
    </wne:keymap>
    <wne:keymap wne:kcmPrimary="0457">
      <wne:fci wne:fciName="Superscript" wne:swArg="0000"/>
    </wne:keymap>
  </wne:keymaps>
</wne:tcg>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zIxMzgyY2MxY2EzMjQ1OWQ2ODExZTk5YjVjOWFjYjUifQ=="/>
  </w:docVars>
  <w:rsids>
    <w:rsidRoot w:val="00C00E26"/>
    <w:rsid w:val="00205B8E"/>
    <w:rsid w:val="00C00E26"/>
    <w:rsid w:val="05CA2DC2"/>
    <w:rsid w:val="13C8363F"/>
    <w:rsid w:val="2DB24D4A"/>
    <w:rsid w:val="3C5A0F14"/>
    <w:rsid w:val="45185BA9"/>
    <w:rsid w:val="48F52BF7"/>
    <w:rsid w:val="4B841097"/>
    <w:rsid w:val="672B61CF"/>
    <w:rsid w:val="6B3322F6"/>
    <w:rsid w:val="769F41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C00E26"/>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autoRedefine/>
    <w:qFormat/>
    <w:rsid w:val="00C00E26"/>
    <w:pPr>
      <w:jc w:val="left"/>
    </w:pPr>
  </w:style>
  <w:style w:type="paragraph" w:styleId="BalloonText">
    <w:name w:val="Balloon Text"/>
    <w:basedOn w:val="Normal"/>
    <w:link w:val="BalloonTextChar"/>
    <w:rsid w:val="00205B8E"/>
    <w:rPr>
      <w:rFonts w:ascii="Tahoma" w:hAnsi="Tahoma" w:cs="Tahoma"/>
      <w:sz w:val="16"/>
      <w:szCs w:val="16"/>
    </w:rPr>
  </w:style>
  <w:style w:type="character" w:customStyle="1" w:styleId="BalloonTextChar">
    <w:name w:val="Balloon Text Char"/>
    <w:basedOn w:val="DefaultParagraphFont"/>
    <w:link w:val="BalloonText"/>
    <w:rsid w:val="00205B8E"/>
    <w:rPr>
      <w:rFonts w:ascii="Tahom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Robin Wei</cp:lastModifiedBy>
  <cp:revision>2</cp:revision>
  <dcterms:created xsi:type="dcterms:W3CDTF">2023-12-07T02:07:00Z</dcterms:created>
  <dcterms:modified xsi:type="dcterms:W3CDTF">2024-06-11T02:05:00Z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1C673A35189F4C308481E8FAA0FD5382_12</vt:lpwstr>
  </property>
</Properties>
</file>