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7C" w:rsidRDefault="00F24EF9">
      <w:pPr>
        <w:spacing w:line="312" w:lineRule="auto"/>
        <w:ind w:right="-7"/>
        <w:contextualSpacing/>
        <w:jc w:val="left"/>
        <w:rPr>
          <w:rFonts w:ascii="Times New Roman" w:eastAsia="宋体" w:hAnsi="Times New Roman" w:cs="Times New Roman"/>
          <w:b/>
          <w:bCs/>
          <w:kern w:val="0"/>
          <w:sz w:val="22"/>
          <w:szCs w:val="22"/>
        </w:rPr>
      </w:pPr>
      <w:bookmarkStart w:id="0" w:name="OLE_LINK10"/>
      <w:r>
        <w:rPr>
          <w:rFonts w:ascii="Times New Roman" w:eastAsia="宋体" w:hAnsi="Times New Roman" w:cs="Times New Roman" w:hint="eastAsia"/>
          <w:b/>
          <w:bCs/>
          <w:kern w:val="0"/>
          <w:sz w:val="22"/>
          <w:szCs w:val="22"/>
        </w:rPr>
        <w:t>Supplementary Figure S</w:t>
      </w:r>
      <w:bookmarkEnd w:id="0"/>
      <w:r>
        <w:rPr>
          <w:rFonts w:ascii="Times New Roman" w:eastAsia="宋体" w:hAnsi="Times New Roman" w:cs="Times New Roman" w:hint="eastAsia"/>
          <w:b/>
          <w:bCs/>
          <w:kern w:val="0"/>
          <w:sz w:val="22"/>
          <w:szCs w:val="22"/>
        </w:rPr>
        <w:t>1. Making of PTG and SCS</w:t>
      </w:r>
    </w:p>
    <w:p w:rsidR="00FC517C" w:rsidRDefault="00F24EF9">
      <w:pPr>
        <w:spacing w:line="312" w:lineRule="auto"/>
        <w:ind w:right="-7"/>
        <w:contextualSpacing/>
        <w:jc w:val="left"/>
        <w:rPr>
          <w:rFonts w:ascii="Times New Roman" w:eastAsia="宋体" w:hAnsi="Times New Roman" w:cs="Times New Roman"/>
          <w:kern w:val="0"/>
          <w:sz w:val="22"/>
          <w:szCs w:val="22"/>
        </w:rPr>
      </w:pP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Patients complaining of excessive shedding with a 20-30 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>percent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reduction of the global volume of scalp hair are shown in panels </w:t>
      </w:r>
      <w:r>
        <w:rPr>
          <w:rFonts w:ascii="Times New Roman" w:eastAsia="宋体" w:hAnsi="Times New Roman" w:cs="Times New Roman"/>
          <w:b/>
          <w:kern w:val="0"/>
          <w:sz w:val="22"/>
          <w:szCs w:val="22"/>
        </w:rPr>
        <w:t>a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and </w:t>
      </w:r>
      <w:r>
        <w:rPr>
          <w:rFonts w:ascii="Times New Roman" w:eastAsia="宋体" w:hAnsi="Times New Roman" w:cs="Times New Roman"/>
          <w:b/>
          <w:kern w:val="0"/>
          <w:sz w:val="22"/>
          <w:szCs w:val="22"/>
        </w:rPr>
        <w:t>b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of Figure S1 (respectively TOP left and right). Panel </w:t>
      </w:r>
      <w:r>
        <w:rPr>
          <w:rFonts w:ascii="Times New Roman" w:eastAsia="宋体" w:hAnsi="Times New Roman" w:cs="Times New Roman"/>
          <w:b/>
          <w:kern w:val="0"/>
          <w:sz w:val="22"/>
          <w:szCs w:val="22"/>
        </w:rPr>
        <w:t>a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shows a patient sitting in front of the standardized imaging tools and the in-house organization of our technical room. The standardized procedure will be followed like in any other patient except for the comb with wider spaces in case of curly African ha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>ir compared with tighter tooth combs for Caucasian hair</w:t>
      </w:r>
      <w:r>
        <w:rPr>
          <w:rFonts w:ascii="Times New Roman" w:eastAsia="宋体" w:hAnsi="Times New Roman" w:cs="Times New Roman"/>
          <w:kern w:val="0"/>
          <w:sz w:val="22"/>
          <w:szCs w:val="22"/>
          <w:vertAlign w:val="superscript"/>
        </w:rPr>
        <w:t>1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. Panel </w:t>
      </w:r>
      <w:r>
        <w:rPr>
          <w:rFonts w:ascii="Times New Roman" w:eastAsia="宋体" w:hAnsi="Times New Roman" w:cs="Times New Roman"/>
          <w:b/>
          <w:kern w:val="0"/>
          <w:sz w:val="22"/>
          <w:szCs w:val="22"/>
        </w:rPr>
        <w:t>b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shows the top of the head with parted hair midline. The white circle is where a contrast-enhanced phototrichogram with exogen collection (CE-PTG-EC) will probe detailed hair dynamics in the 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region of interest (ROI), as detailed in panels c to h. Panel </w:t>
      </w:r>
      <w:r>
        <w:rPr>
          <w:rFonts w:ascii="Times New Roman" w:eastAsia="宋体" w:hAnsi="Times New Roman" w:cs="Times New Roman"/>
          <w:b/>
          <w:kern w:val="0"/>
          <w:sz w:val="22"/>
          <w:szCs w:val="22"/>
        </w:rPr>
        <w:t>c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shows dyed hair captured immediately after short clipping. We perform exogen sampling before imaging to remove hair that has shed from the ROI. Panel </w:t>
      </w:r>
      <w:r>
        <w:rPr>
          <w:rFonts w:ascii="Times New Roman" w:eastAsia="宋体" w:hAnsi="Times New Roman" w:cs="Times New Roman"/>
          <w:b/>
          <w:kern w:val="0"/>
          <w:sz w:val="22"/>
          <w:szCs w:val="22"/>
        </w:rPr>
        <w:t>d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shows the same site with anagen and telo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>gen hair (site cleared from exogen after a new hair dye session about 48 h later; in the present case 42.7 h; ROI surface 0.69 cm</w:t>
      </w:r>
      <w:r>
        <w:rPr>
          <w:rFonts w:ascii="Times New Roman" w:eastAsia="宋体" w:hAnsi="Times New Roman" w:cs="Times New Roman"/>
          <w:kern w:val="0"/>
          <w:sz w:val="22"/>
          <w:szCs w:val="22"/>
          <w:vertAlign w:val="superscript"/>
        </w:rPr>
        <w:t>2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>). The technician made a methodological error deemed acceptable as it accounted for less than 3% of the total hair involved in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human intervention. For transparency, we illustrate this error with three magenta bars next to an empty follicle (marked by a yellow dot), identifying two white and one pigmented terminal hair. These were initially omitted, but one pigmented growing shaft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can be easily traced in the enlarged views of panels </w:t>
      </w:r>
      <w:r>
        <w:rPr>
          <w:rFonts w:ascii="Times New Roman" w:eastAsia="宋体" w:hAnsi="Times New Roman" w:cs="Times New Roman"/>
          <w:b/>
          <w:kern w:val="0"/>
          <w:sz w:val="22"/>
          <w:szCs w:val="22"/>
        </w:rPr>
        <w:t>e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and </w:t>
      </w:r>
      <w:r>
        <w:rPr>
          <w:rFonts w:ascii="Times New Roman" w:eastAsia="宋体" w:hAnsi="Times New Roman" w:cs="Times New Roman"/>
          <w:b/>
          <w:kern w:val="0"/>
          <w:sz w:val="22"/>
          <w:szCs w:val="22"/>
        </w:rPr>
        <w:t>f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. Panel </w:t>
      </w:r>
      <w:r>
        <w:rPr>
          <w:rFonts w:ascii="Times New Roman" w:eastAsia="宋体" w:hAnsi="Times New Roman" w:cs="Times New Roman"/>
          <w:b/>
          <w:kern w:val="0"/>
          <w:sz w:val="22"/>
          <w:szCs w:val="22"/>
        </w:rPr>
        <w:t>e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displays a mapping of stubbles by the technician, with the hair visible in the background (as in panel c) overlaid in red. Panel </w:t>
      </w:r>
      <w:r>
        <w:rPr>
          <w:rFonts w:ascii="Times New Roman" w:eastAsia="宋体" w:hAnsi="Times New Roman" w:cs="Times New Roman"/>
          <w:b/>
          <w:kern w:val="0"/>
          <w:sz w:val="22"/>
          <w:szCs w:val="22"/>
        </w:rPr>
        <w:t>f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shows growth in the same fibers; the hair from panel d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is shown as background in panel </w:t>
      </w:r>
      <w:r>
        <w:rPr>
          <w:rFonts w:ascii="Times New Roman" w:eastAsia="宋体" w:hAnsi="Times New Roman" w:cs="Times New Roman"/>
          <w:b/>
          <w:kern w:val="0"/>
          <w:sz w:val="22"/>
          <w:szCs w:val="22"/>
        </w:rPr>
        <w:t>f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, complemented by red stubbles from panel </w:t>
      </w:r>
      <w:r>
        <w:rPr>
          <w:rFonts w:ascii="Times New Roman" w:eastAsia="宋体" w:hAnsi="Times New Roman" w:cs="Times New Roman"/>
          <w:b/>
          <w:kern w:val="0"/>
          <w:sz w:val="22"/>
          <w:szCs w:val="22"/>
        </w:rPr>
        <w:t>e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and additional color highlighting the extent of elongation, i.e., growth. In this routine procedure, technicians do not apply a specific color code (for further details on this p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rocedure, refer to figures in previously published papers </w:t>
      </w:r>
      <w:r>
        <w:rPr>
          <w:rFonts w:ascii="Times New Roman" w:eastAsia="宋体" w:hAnsi="Times New Roman" w:cs="Times New Roman"/>
          <w:kern w:val="0"/>
          <w:sz w:val="22"/>
          <w:szCs w:val="22"/>
          <w:vertAlign w:val="superscript"/>
        </w:rPr>
        <w:t>2-4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>).</w:t>
      </w:r>
    </w:p>
    <w:p w:rsidR="00FC517C" w:rsidRDefault="00F24EF9">
      <w:pPr>
        <w:spacing w:line="312" w:lineRule="auto"/>
        <w:ind w:right="-7"/>
        <w:contextualSpacing/>
        <w:jc w:val="left"/>
        <w:rPr>
          <w:rFonts w:ascii="Times New Roman" w:eastAsia="宋体" w:hAnsi="Times New Roman" w:cs="Times New Roman"/>
          <w:kern w:val="0"/>
          <w:sz w:val="22"/>
          <w:szCs w:val="22"/>
        </w:rPr>
      </w:pP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Scalp and hair in the background were cleared in panel </w:t>
      </w:r>
      <w:r>
        <w:rPr>
          <w:rFonts w:ascii="Times New Roman" w:eastAsia="宋体" w:hAnsi="Times New Roman" w:cs="Times New Roman"/>
          <w:b/>
          <w:kern w:val="0"/>
          <w:sz w:val="22"/>
          <w:szCs w:val="22"/>
        </w:rPr>
        <w:t>g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for Computer Assisted Image Analysis (CAIA). </w:t>
      </w:r>
    </w:p>
    <w:p w:rsidR="00FC517C" w:rsidRDefault="00F24EF9">
      <w:pPr>
        <w:spacing w:line="312" w:lineRule="auto"/>
        <w:ind w:right="-7"/>
        <w:contextualSpacing/>
        <w:jc w:val="left"/>
        <w:rPr>
          <w:rFonts w:ascii="Times New Roman" w:eastAsia="宋体" w:hAnsi="Times New Roman" w:cs="Times New Roman"/>
          <w:kern w:val="0"/>
          <w:sz w:val="22"/>
          <w:szCs w:val="22"/>
        </w:rPr>
      </w:pP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Finally, deleting unnecessary stubbles, </w:t>
      </w:r>
      <w:bookmarkStart w:id="1" w:name="OLE_LINK1"/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panel </w:t>
      </w:r>
      <w:r>
        <w:rPr>
          <w:rFonts w:ascii="Times New Roman" w:eastAsia="宋体" w:hAnsi="Times New Roman" w:cs="Times New Roman"/>
          <w:b/>
          <w:kern w:val="0"/>
          <w:sz w:val="22"/>
          <w:szCs w:val="22"/>
        </w:rPr>
        <w:t>h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</w:t>
      </w:r>
      <w:bookmarkEnd w:id="1"/>
      <w:r>
        <w:rPr>
          <w:rFonts w:ascii="Times New Roman" w:eastAsia="宋体" w:hAnsi="Times New Roman" w:cs="Times New Roman"/>
          <w:kern w:val="0"/>
          <w:sz w:val="22"/>
          <w:szCs w:val="22"/>
        </w:rPr>
        <w:t>displays ‘growth only’ where the computat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ion of growth rate and diameter by unit time and unit area will generate productivity. Herein, we do not display the tracking of production per follicular unit </w:t>
      </w:r>
      <w:r>
        <w:rPr>
          <w:rFonts w:ascii="Times New Roman" w:eastAsia="宋体" w:hAnsi="Times New Roman" w:cs="Times New Roman" w:hint="eastAsia"/>
          <w:kern w:val="0"/>
          <w:sz w:val="22"/>
          <w:szCs w:val="22"/>
        </w:rPr>
        <w:t>(Fig.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11 in</w:t>
      </w:r>
      <w:r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 a previous paper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</w:t>
      </w:r>
      <w:r>
        <w:rPr>
          <w:rFonts w:ascii="Times New Roman" w:eastAsia="宋体" w:hAnsi="Times New Roman" w:cs="Times New Roman"/>
          <w:kern w:val="0"/>
          <w:sz w:val="22"/>
          <w:szCs w:val="22"/>
          <w:vertAlign w:val="superscript"/>
        </w:rPr>
        <w:t>1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). The area covered by hair in </w:t>
      </w:r>
      <w:r>
        <w:rPr>
          <w:rFonts w:ascii="Times New Roman" w:eastAsia="宋体" w:hAnsi="Times New Roman" w:cs="Times New Roman" w:hint="eastAsia"/>
          <w:kern w:val="0"/>
          <w:sz w:val="22"/>
          <w:szCs w:val="22"/>
          <w:highlight w:val="yellow"/>
        </w:rPr>
        <w:t>panel</w:t>
      </w:r>
      <w:r>
        <w:rPr>
          <w:rFonts w:ascii="Times New Roman" w:eastAsia="宋体" w:hAnsi="Times New Roman" w:cs="Times New Roman" w:hint="eastAsia"/>
          <w:b/>
          <w:bCs/>
          <w:kern w:val="0"/>
          <w:sz w:val="22"/>
          <w:szCs w:val="22"/>
          <w:highlight w:val="yellow"/>
        </w:rPr>
        <w:t xml:space="preserve"> h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per unit time and cm</w:t>
      </w:r>
      <w:r>
        <w:rPr>
          <w:rFonts w:ascii="Times New Roman" w:eastAsia="宋体" w:hAnsi="Times New Roman" w:cs="Times New Roman"/>
          <w:kern w:val="0"/>
          <w:sz w:val="22"/>
          <w:szCs w:val="22"/>
          <w:vertAlign w:val="superscript"/>
        </w:rPr>
        <w:t>2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is used to express the productivity, i.e., the time to complete scalp coverage in this field or TTCC (days).</w:t>
      </w:r>
    </w:p>
    <w:p w:rsidR="00FC517C" w:rsidRDefault="00F24EF9">
      <w:pPr>
        <w:spacing w:line="312" w:lineRule="auto"/>
        <w:ind w:right="-7"/>
        <w:contextualSpacing/>
        <w:jc w:val="left"/>
        <w:rPr>
          <w:rFonts w:ascii="Times New Roman" w:eastAsia="宋体" w:hAnsi="Times New Roman" w:cs="Times New Roman"/>
          <w:kern w:val="0"/>
          <w:sz w:val="22"/>
          <w:szCs w:val="22"/>
        </w:rPr>
      </w:pP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In </w:t>
      </w:r>
      <w:r>
        <w:rPr>
          <w:rFonts w:ascii="Times New Roman" w:eastAsia="宋体" w:hAnsi="Times New Roman" w:cs="Times New Roman" w:hint="eastAsia"/>
          <w:kern w:val="0"/>
          <w:sz w:val="22"/>
          <w:szCs w:val="22"/>
        </w:rPr>
        <w:t>Figure S1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patient shown in panel </w:t>
      </w:r>
      <w:r>
        <w:rPr>
          <w:rFonts w:ascii="Times New Roman" w:eastAsia="宋体" w:hAnsi="Times New Roman" w:cs="Times New Roman"/>
          <w:b/>
          <w:kern w:val="0"/>
          <w:sz w:val="22"/>
          <w:szCs w:val="22"/>
        </w:rPr>
        <w:t>b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>) we report hair counts per cm</w:t>
      </w:r>
      <w:r>
        <w:rPr>
          <w:rFonts w:ascii="Times New Roman" w:eastAsia="宋体" w:hAnsi="Times New Roman" w:cs="Times New Roman"/>
          <w:kern w:val="0"/>
          <w:sz w:val="22"/>
          <w:szCs w:val="22"/>
          <w:vertAlign w:val="superscript"/>
        </w:rPr>
        <w:t>2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>: 8 exogen hair, Nanohair: 41, Miniaturised: 42 (27%), Terminal: 116 (73%), an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d Total: 158 (100%) of whom 83% were growing. There was a lower anagen % in Miniaturised than in Terminal hair (48% and 95%). 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lastRenderedPageBreak/>
        <w:t>This illustrates very short cycling, i.e., less than 3 months at slow growth rates in Miniaturising follicles. Scalp Coverage Scor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>ing (SCS from P1 to P4: 4.5, 3.5, 3, 3.5) translates as 72% SCS Max when TTCC was 51.24 days, i.e., 2.6 times longer than the average in healthy female controls (21 days).</w:t>
      </w:r>
    </w:p>
    <w:p w:rsidR="00FC517C" w:rsidRDefault="00F24EF9">
      <w:pPr>
        <w:spacing w:line="312" w:lineRule="auto"/>
        <w:ind w:right="-7"/>
        <w:contextualSpacing/>
        <w:jc w:val="left"/>
        <w:rPr>
          <w:rFonts w:ascii="Times New Roman" w:eastAsia="宋体" w:hAnsi="Times New Roman" w:cs="Times New Roman"/>
          <w:kern w:val="0"/>
          <w:sz w:val="22"/>
          <w:szCs w:val="22"/>
        </w:rPr>
      </w:pPr>
      <w:bookmarkStart w:id="2" w:name="_GoBack"/>
      <w:bookmarkEnd w:id="2"/>
      <w:r w:rsidRPr="00F24EF9">
        <w:rPr>
          <w:rFonts w:ascii="Times New Roman" w:eastAsia="宋体" w:hAnsi="Times New Roman" w:cs="Times New Roman"/>
          <w:kern w:val="0"/>
          <w:sz w:val="22"/>
          <w:szCs w:val="22"/>
        </w:rPr>
        <w:drawing>
          <wp:inline distT="0" distB="0" distL="0" distR="0">
            <wp:extent cx="3092450" cy="6502400"/>
            <wp:effectExtent l="19050" t="0" r="0" b="0"/>
            <wp:docPr id="1" name="Picture 1" descr="D:\work\XiaHe\work\01 xml-typesetting\NCS-23-14\print\NCS-23-14 Figure S1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XiaHe\work\01 xml-typesetting\NCS-23-14\print\NCS-23-14 Figure S1 final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65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7C" w:rsidRDefault="00F24EF9">
      <w:pPr>
        <w:spacing w:line="312" w:lineRule="auto"/>
        <w:ind w:right="-7"/>
        <w:contextualSpacing/>
        <w:jc w:val="left"/>
        <w:rPr>
          <w:rFonts w:ascii="Times New Roman" w:eastAsia="宋体" w:hAnsi="Times New Roman" w:cs="Times New Roman"/>
          <w:kern w:val="0"/>
          <w:sz w:val="22"/>
          <w:szCs w:val="22"/>
        </w:rPr>
      </w:pPr>
      <w:r>
        <w:rPr>
          <w:rFonts w:ascii="Times New Roman" w:eastAsia="宋体" w:hAnsi="Times New Roman" w:cs="Times New Roman"/>
          <w:kern w:val="0"/>
          <w:sz w:val="22"/>
          <w:szCs w:val="22"/>
        </w:rPr>
        <w:t>References</w:t>
      </w:r>
    </w:p>
    <w:p w:rsidR="00FC517C" w:rsidRDefault="00F24EF9">
      <w:pPr>
        <w:spacing w:line="312" w:lineRule="auto"/>
        <w:ind w:right="-7"/>
        <w:contextualSpacing/>
        <w:jc w:val="left"/>
        <w:rPr>
          <w:rFonts w:ascii="Times New Roman" w:eastAsia="宋体" w:hAnsi="Times New Roman" w:cs="Times New Roman"/>
          <w:kern w:val="0"/>
          <w:sz w:val="22"/>
          <w:szCs w:val="22"/>
        </w:rPr>
      </w:pPr>
      <w:r>
        <w:rPr>
          <w:rFonts w:ascii="Times New Roman" w:eastAsia="宋体" w:hAnsi="Times New Roman" w:cs="Times New Roman"/>
          <w:kern w:val="0"/>
          <w:sz w:val="22"/>
          <w:szCs w:val="22"/>
        </w:rPr>
        <w:t>1. Van Neste D. Photographic techniques and quantification of hair growt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>h. In: Humbert P, Fanian F, Maibach HI, Agache P. editors. Agache's Measuring Skin, Springer Pub.; 2017.p.767-86.</w:t>
      </w:r>
    </w:p>
    <w:p w:rsidR="00FC517C" w:rsidRDefault="00F24EF9">
      <w:pPr>
        <w:spacing w:line="312" w:lineRule="auto"/>
        <w:ind w:right="-7"/>
        <w:contextualSpacing/>
        <w:jc w:val="left"/>
        <w:rPr>
          <w:rFonts w:ascii="Times New Roman" w:eastAsia="宋体" w:hAnsi="Times New Roman" w:cs="Times New Roman"/>
          <w:kern w:val="0"/>
          <w:sz w:val="22"/>
          <w:szCs w:val="22"/>
        </w:rPr>
      </w:pP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2. Van Neste D. Exhaustive analysis of scalp hair regression: subjective and objective 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lastRenderedPageBreak/>
        <w:t>perception from initial hair loss to severe miniaturisa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>tion and drug-induced regrowth. Plast Aesthet Res 2021;8(16), doi: 10.20517/2347-9264.2020.220.</w:t>
      </w:r>
    </w:p>
    <w:p w:rsidR="00FC517C" w:rsidRDefault="00F24EF9">
      <w:pPr>
        <w:spacing w:line="312" w:lineRule="auto"/>
        <w:ind w:right="-7"/>
        <w:contextualSpacing/>
        <w:jc w:val="left"/>
        <w:rPr>
          <w:rFonts w:ascii="Times New Roman" w:eastAsia="宋体" w:hAnsi="Times New Roman" w:cs="Times New Roman"/>
          <w:kern w:val="0"/>
          <w:sz w:val="22"/>
          <w:szCs w:val="22"/>
        </w:rPr>
      </w:pPr>
      <w:r>
        <w:rPr>
          <w:rFonts w:ascii="Times New Roman" w:eastAsia="宋体" w:hAnsi="Times New Roman" w:cs="Times New Roman"/>
          <w:kern w:val="0"/>
          <w:sz w:val="22"/>
          <w:szCs w:val="22"/>
        </w:rPr>
        <w:t>3. Van Neste D. Placebo-controlled dose-effect studies with topical minoxidil 2% or 5% in male-patterned hair loss treated with oral finasteride employing an an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>alytical and exhaustive study protocol. Skin Res Technol 2020;26(4):542-557. doi: 10.1111/srt.12827. PMID: 31957152.</w:t>
      </w:r>
    </w:p>
    <w:p w:rsidR="00FC517C" w:rsidRDefault="00F24EF9">
      <w:pPr>
        <w:spacing w:line="312" w:lineRule="auto"/>
        <w:ind w:right="-7"/>
        <w:contextualSpacing/>
        <w:jc w:val="left"/>
        <w:rPr>
          <w:rFonts w:ascii="Times New Roman" w:eastAsia="宋体" w:hAnsi="Times New Roman" w:cs="Times New Roman"/>
          <w:kern w:val="0"/>
          <w:sz w:val="22"/>
          <w:szCs w:val="22"/>
        </w:rPr>
      </w:pPr>
      <w:r>
        <w:rPr>
          <w:rFonts w:ascii="Times New Roman" w:eastAsia="宋体" w:hAnsi="Times New Roman" w:cs="Times New Roman"/>
          <w:kern w:val="0"/>
          <w:sz w:val="22"/>
          <w:szCs w:val="22"/>
        </w:rPr>
        <w:t>4. Van Neste D. Viable terminal scalp hair follicles constitute a necessary and sufficient biological end-organ that conditions clinical ef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>ficacy of finasteride in males with male pattern hair loss without implying reversal of miniaturized follicles. Skin Res Technol 2019;25(5):701-711. doi: 10.1111/srt.12706. PMID: 31206839.</w:t>
      </w:r>
    </w:p>
    <w:p w:rsidR="00FC517C" w:rsidRDefault="00FC517C"/>
    <w:sectPr w:rsidR="00FC517C" w:rsidSect="00FC51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fci wne:fciName="FontColorPicker" wne:swArg="0000"/>
    </wne:keymap>
    <wne:keymap wne:kcmPrimary="0451">
      <wne:fci wne:fciName="FillColorPicker" wne:swArg="0000"/>
    </wne:keymap>
    <wne:keymap wne:kcmPrimary="0457">
      <wne:fci wne:fciName="Superscript" wne:swArg="0000"/>
    </wne:keymap>
  </wne:keymaps>
</wne:tcg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zIxMzgyY2MxY2EzMjQ1OWQ2ODExZTk5YjVjOWFjYjUifQ=="/>
  </w:docVars>
  <w:rsids>
    <w:rsidRoot w:val="00FC517C"/>
    <w:rsid w:val="00F24EF9"/>
    <w:rsid w:val="00FC517C"/>
    <w:rsid w:val="0C9D78D6"/>
    <w:rsid w:val="2F552365"/>
    <w:rsid w:val="3C5A0F14"/>
    <w:rsid w:val="45185BA9"/>
    <w:rsid w:val="589B20F2"/>
    <w:rsid w:val="672B61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FC517C"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24E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24EF9"/>
    <w:rPr>
      <w:rFonts w:ascii="Tahoma" w:hAnsi="Tahoma" w:cs="Tahoma"/>
      <w:kern w:val="2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microsoft.com/office/2006/relationships/keyMapCustomizations" Target="customization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636</Words>
  <Characters>3628</Characters>
  <Application>Microsoft Office Word</Application>
  <DocSecurity>0</DocSecurity>
  <Lines>30</Lines>
  <Paragraphs>8</Paragraphs>
  <ScaleCrop>false</ScaleCrop>
  <Company/>
  <LinksUpToDate>false</LinksUpToDate>
  <CharactersWithSpaces>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</dc:creator>
  <cp:lastModifiedBy>Robin Wei</cp:lastModifiedBy>
  <cp:revision>2</cp:revision>
  <dcterms:created xsi:type="dcterms:W3CDTF">2023-12-07T02:07:00Z</dcterms:created>
  <dcterms:modified xsi:type="dcterms:W3CDTF">2024-06-11T02:04:00Z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1C673A35189F4C308481E8FAA0FD5382_12</vt:lpwstr>
  </property>
</Properties>
</file>