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FF" w:rsidRPr="00055A23" w:rsidRDefault="006D02FF" w:rsidP="006D02FF">
      <w:pPr>
        <w:snapToGrid w:val="0"/>
        <w:spacing w:line="480" w:lineRule="auto"/>
        <w:jc w:val="both"/>
        <w:textAlignment w:val="baseline"/>
      </w:pPr>
    </w:p>
    <w:p w:rsidR="006D02FF" w:rsidRPr="008C06CF" w:rsidRDefault="006D02FF" w:rsidP="006D02FF">
      <w:pPr>
        <w:snapToGrid w:val="0"/>
        <w:spacing w:line="480" w:lineRule="auto"/>
        <w:jc w:val="both"/>
        <w:textAlignment w:val="baseline"/>
      </w:pPr>
      <w:r w:rsidRPr="008C06CF">
        <w:rPr>
          <w:b/>
          <w:bCs/>
        </w:rPr>
        <w:t>Supplementary Table 3</w:t>
      </w:r>
      <w:r>
        <w:rPr>
          <w:b/>
          <w:bCs/>
        </w:rPr>
        <w:t>.</w:t>
      </w:r>
      <w:r w:rsidRPr="008C06CF">
        <w:t xml:space="preserve"> </w:t>
      </w:r>
      <w:r w:rsidRPr="00055A23">
        <w:rPr>
          <w:b/>
          <w:bCs/>
        </w:rPr>
        <w:t>Sex-specific trends for hepatocellular carcinoma (HCC) mortality among different age and race/ethnic groups</w:t>
      </w:r>
    </w:p>
    <w:tbl>
      <w:tblPr>
        <w:tblW w:w="15577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52"/>
        <w:gridCol w:w="1888"/>
        <w:gridCol w:w="1350"/>
        <w:gridCol w:w="2340"/>
        <w:gridCol w:w="2160"/>
        <w:gridCol w:w="2070"/>
        <w:gridCol w:w="1440"/>
        <w:gridCol w:w="1530"/>
        <w:gridCol w:w="1447"/>
      </w:tblGrid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  <w:b/>
              </w:rPr>
              <w:t>Age group, y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 xml:space="preserve">Deaths, </w:t>
            </w:r>
            <w:r w:rsidRPr="00055A23">
              <w:rPr>
                <w:rFonts w:eastAsia="Arial"/>
                <w:b/>
                <w:bCs/>
                <w:i/>
                <w:iCs/>
              </w:rPr>
              <w:t>n</w:t>
            </w:r>
            <w:r w:rsidRPr="00055A23">
              <w:rPr>
                <w:rFonts w:eastAsia="Arial"/>
                <w:b/>
                <w:bCs/>
              </w:rPr>
              <w:br/>
              <w:t xml:space="preserve">= </w:t>
            </w:r>
            <w:r w:rsidRPr="00055A23">
              <w:rPr>
                <w:b/>
                <w:bCs/>
              </w:rPr>
              <w:t>329,973</w:t>
            </w:r>
            <w:r w:rsidRPr="00055A23">
              <w:rPr>
                <w:rFonts w:eastAsia="Arial"/>
                <w:b/>
                <w:bCs/>
                <w:vertAlign w:val="superscript"/>
              </w:rPr>
              <w:t>a</w:t>
            </w:r>
          </w:p>
        </w:tc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Trends</w:t>
            </w:r>
            <w:r w:rsidRPr="00055A23">
              <w:rPr>
                <w:rFonts w:eastAsia="Arial"/>
                <w:b/>
                <w:bCs/>
                <w:vertAlign w:val="superscript"/>
              </w:rPr>
              <w:t>b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Sex-specific AAPC difference</w:t>
            </w:r>
            <w:r w:rsidRPr="00055A23">
              <w:rPr>
                <w:rFonts w:eastAsia="Arial"/>
                <w:b/>
                <w:bCs/>
              </w:rPr>
              <w:br/>
              <w:t>(95% CI)</w:t>
            </w:r>
            <w:r w:rsidRPr="00055A23">
              <w:rPr>
                <w:rFonts w:eastAsia="Arial"/>
                <w:b/>
                <w:bCs/>
                <w:vertAlign w:val="superscript"/>
              </w:rPr>
              <w:t>c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 xml:space="preserve">Pairwise comparison </w:t>
            </w:r>
            <w:r w:rsidRPr="00055A23">
              <w:rPr>
                <w:rFonts w:eastAsia="Arial"/>
                <w:b/>
                <w:bCs/>
                <w:i/>
                <w:iCs/>
              </w:rPr>
              <w:t>p-</w:t>
            </w:r>
            <w:r w:rsidRPr="00055A23">
              <w:rPr>
                <w:rFonts w:eastAsia="Arial"/>
                <w:b/>
                <w:bCs/>
              </w:rPr>
              <w:t>values</w:t>
            </w: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Time period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APC (95% CI)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AAPC (95% CI)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Sex-specific AAPC difference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Coincidence</w:t>
            </w:r>
            <w:r w:rsidRPr="00055A23">
              <w:rPr>
                <w:rFonts w:eastAsia="Arial"/>
                <w:b/>
                <w:bCs/>
                <w:vertAlign w:val="superscript"/>
              </w:rPr>
              <w:t>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Parallelism</w:t>
            </w:r>
            <w:r w:rsidRPr="00055A23">
              <w:rPr>
                <w:rFonts w:eastAsia="Arial"/>
                <w:b/>
                <w:bCs/>
                <w:vertAlign w:val="superscript"/>
              </w:rPr>
              <w:t>e</w:t>
            </w: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Non-Hispanic White</w:t>
            </w: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60,450 (18.32%)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0.55 (0.14 to 0.96)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0.88 (0.16 to 1.60)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0.55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040 to 1.51)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0.25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2010-2014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3.46 (1.04 to 5.95)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2014-2018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1.25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3.46 to 1.01)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1.70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2.66 to 6.27)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152,514 </w:t>
            </w:r>
            <w:r w:rsidRPr="00055A23">
              <w:rPr>
                <w:rFonts w:eastAsia="Arial"/>
              </w:rPr>
              <w:t>(</w:t>
            </w:r>
            <w:r w:rsidRPr="00055A23">
              <w:rPr>
                <w:color w:val="000000"/>
              </w:rPr>
              <w:t>46.22%)</w:t>
            </w:r>
          </w:p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1.91 (1.10 to 2.73)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1.43 (0.81 to 2.05)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2006-2012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3.16 (2.22 to 4.11)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2012-2015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1.17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2.50 to 4.98)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1.02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1.80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0.23)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lastRenderedPageBreak/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55,722 </w:t>
            </w:r>
            <w:r w:rsidRPr="00055A23">
              <w:rPr>
                <w:rFonts w:eastAsia="Arial"/>
              </w:rPr>
              <w:t>(16.89%)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0.30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0.23 to 0.83)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0.94 (0.46 to 1.43)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1.00</w:t>
            </w:r>
            <w:r w:rsidRPr="00055A23">
              <w:rPr>
                <w:rFonts w:eastAsia="Arial"/>
              </w:rPr>
              <w:br/>
              <w:t>(0.36 to 1.63)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0.002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2009-2014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3.24 (1.55 to 4.96)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2014-2020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0.78 to 0.83)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133,560 </w:t>
            </w:r>
            <w:r w:rsidRPr="00055A23">
              <w:rPr>
                <w:rFonts w:eastAsia="Arial"/>
              </w:rPr>
              <w:t>(40.48%)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0.43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1.26 to 2.16)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1.94 (1.53 to 2.35)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2004-2015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3.70 (3.34 to 4.05)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0.65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1.46 to 0.16)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rPr>
          <w:trHeight w:val="233"/>
        </w:trPr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6D02FF" w:rsidRPr="00CC6225" w:rsidTr="00A2303B">
        <w:trPr>
          <w:trHeight w:val="341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4,569 </w:t>
            </w:r>
            <w:r w:rsidRPr="00055A23">
              <w:rPr>
                <w:rFonts w:eastAsia="Arial"/>
              </w:rPr>
              <w:t>(1.38%)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1.28 (0.16 to 2.42)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0.82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1.84 to 0.21)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1.95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3.30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0.59)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0.005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6D02FF" w:rsidRPr="00CC6225" w:rsidTr="00A2303B">
        <w:trPr>
          <w:trHeight w:val="269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2012-2020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3.89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6.02 to 1.72)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18,701 </w:t>
            </w:r>
            <w:r w:rsidRPr="00055A23">
              <w:rPr>
                <w:rFonts w:eastAsia="Arial"/>
              </w:rPr>
              <w:t>(5.67%)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7.26 (3.83 to 10.80)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2.77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3.66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1.87)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2004-2010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0.40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2.41 to 1.66)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7.85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8.72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6.98)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Non-Hispanic Black</w:t>
            </w: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All ages 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13,014 </w:t>
            </w:r>
            <w:r w:rsidRPr="00055A23">
              <w:rPr>
                <w:rFonts w:eastAsia="Arial"/>
              </w:rPr>
              <w:t>(3.94%)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1.07 (1.07 to 0.52)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0.11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0.95 to 0.73)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1.10</w:t>
            </w:r>
            <w:r w:rsidRPr="00055A23">
              <w:rPr>
                <w:rFonts w:eastAsia="Arial"/>
              </w:rPr>
              <w:br/>
              <w:t>(0.18 to 2.02)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2016-2020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4.71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8.42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0.85)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35,362 </w:t>
            </w:r>
            <w:r w:rsidRPr="00055A23">
              <w:rPr>
                <w:rFonts w:eastAsia="Arial"/>
              </w:rPr>
              <w:t>(10.72%)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2.86 (2.42 to 3.30)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0.99 (0.60 to 1.38)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2013-2020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2.40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3.25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1.54)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11,088 </w:t>
            </w:r>
            <w:r w:rsidRPr="00055A23">
              <w:rPr>
                <w:rFonts w:eastAsia="Arial"/>
              </w:rPr>
              <w:t>(3.36%)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1.65 (0.95 to 2.37)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0.43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0.60 to 1.47)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2.08</w:t>
            </w:r>
            <w:r w:rsidRPr="00055A23">
              <w:rPr>
                <w:rFonts w:eastAsia="Arial"/>
              </w:rPr>
              <w:br/>
              <w:t>(0.95 to 3.21)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2016-2020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4.31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8.80 to 0.40)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28,733 </w:t>
            </w:r>
            <w:r w:rsidRPr="00055A23">
              <w:rPr>
                <w:rFonts w:eastAsia="Arial"/>
              </w:rPr>
              <w:t>(8.71%)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4.79 (4.23 to 5.35)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2.51 (2.05 to 2.97)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2013-2020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2.54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0.64)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1,861 </w:t>
            </w:r>
            <w:r w:rsidRPr="00055A23">
              <w:rPr>
                <w:rFonts w:eastAsia="Arial"/>
              </w:rPr>
              <w:t>(0.56%)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2.46 to 1.72)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3.00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4.42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3.22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5.54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0.89)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0.07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6D02FF" w:rsidRPr="00CC6225" w:rsidTr="00A2303B">
        <w:trPr>
          <w:trHeight w:val="143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5.55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7.78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3.26)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6,579 </w:t>
            </w:r>
            <w:r w:rsidRPr="00055A23">
              <w:rPr>
                <w:rFonts w:eastAsia="Arial"/>
              </w:rPr>
              <w:t xml:space="preserve">(1.99%) </w:t>
            </w:r>
          </w:p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2.08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1.32 to 5.60)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6.22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8.04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4.37)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2005-2017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7.15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8.21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6.07)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2017-2020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15.29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25.15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4.13)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Hispanic</w:t>
            </w: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12,406 </w:t>
            </w:r>
            <w:r w:rsidRPr="00055A23">
              <w:rPr>
                <w:rFonts w:eastAsia="Arial"/>
              </w:rPr>
              <w:t>(3.76%)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0.85 (0.38 to 1.33)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0.26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0.29 to 0.81)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0.33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0.39 to 0.90)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0.36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0.006</w:t>
            </w: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1.50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3.34 to 0.38)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lastRenderedPageBreak/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29,934 </w:t>
            </w:r>
            <w:r w:rsidRPr="00055A23">
              <w:rPr>
                <w:rFonts w:eastAsia="Arial"/>
              </w:rPr>
              <w:t>(9.07%)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1.68 (1.12 to 2.24)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0.59 (0.12 to 1.06)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2013-2020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1.41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2.41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0.39)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11,242 </w:t>
            </w:r>
            <w:r w:rsidRPr="00055A23">
              <w:rPr>
                <w:rFonts w:eastAsia="Arial"/>
              </w:rPr>
              <w:t>(3.41%)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0.87 (0.61 to 1.14)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0.30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0.31 to 0.90)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0.94</w:t>
            </w:r>
            <w:r w:rsidRPr="00055A23">
              <w:rPr>
                <w:rFonts w:eastAsia="Arial"/>
              </w:rPr>
              <w:br/>
              <w:t>(0.14 to 1.74)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0.003</w:t>
            </w: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4.77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10.39 to 1.21)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24,201 </w:t>
            </w:r>
            <w:r w:rsidRPr="00055A23">
              <w:rPr>
                <w:rFonts w:eastAsia="Arial"/>
              </w:rPr>
              <w:t>(7.33%)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2.23 (1.58 to 2.87)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1.24 (0.71 to 1.77)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2013-2020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0.58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1.67 to 0.53)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6D02FF" w:rsidRPr="00CC6225" w:rsidTr="00A2303B">
        <w:trPr>
          <w:trHeight w:val="278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1,092 </w:t>
            </w:r>
            <w:r w:rsidRPr="00055A23">
              <w:rPr>
                <w:rFonts w:eastAsia="Arial"/>
              </w:rPr>
              <w:t>(0.33%)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 xml:space="preserve">2000-2020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2.95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4.15 to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1.73)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2.95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4.15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1.73)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0.69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2.99 to 1.61)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0.55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0.35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5,603 </w:t>
            </w:r>
            <w:r w:rsidRPr="00055A23">
              <w:rPr>
                <w:rFonts w:eastAsia="Arial"/>
              </w:rPr>
              <w:t>(1.70%)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5.41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2.44 to 13.88)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3.64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5.62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1.62)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2004-2016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3.37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4.72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1.99)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2016-2020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12.65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18.76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6.07)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color w:val="000000"/>
                <w:shd w:val="clear" w:color="auto" w:fill="FFFFFF"/>
              </w:rPr>
              <w:t>Non-Hispanic Asian Pacific Islander</w:t>
            </w: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All ages</w:t>
            </w:r>
          </w:p>
        </w:tc>
      </w:tr>
      <w:tr w:rsidR="006D02FF" w:rsidRPr="00CC6225" w:rsidTr="00A2303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6,609 </w:t>
            </w:r>
            <w:r w:rsidRPr="00055A23">
              <w:rPr>
                <w:rFonts w:eastAsia="Arial"/>
              </w:rPr>
              <w:t>(2.00%)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2.93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3.66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2.19)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2.93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3.66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2.19)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0.66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0.16 to 1.48)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0.11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0.02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lastRenderedPageBreak/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15,654 </w:t>
            </w:r>
            <w:r w:rsidRPr="00055A23">
              <w:rPr>
                <w:rFonts w:eastAsia="Arial"/>
              </w:rPr>
              <w:t>(4.74%)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1.36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1.72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1.00)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2.27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2.72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1.83)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4.97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6.51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3.41)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6D02FF" w:rsidRPr="00CC6225" w:rsidTr="00A2303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5,976 </w:t>
            </w:r>
            <w:r w:rsidRPr="00055A23">
              <w:rPr>
                <w:rFonts w:eastAsia="Arial"/>
              </w:rPr>
              <w:t>(1.81%)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2.83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3.58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2.08)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2.83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3.58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2.08)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1.14</w:t>
            </w:r>
            <w:r w:rsidRPr="00055A23">
              <w:rPr>
                <w:rFonts w:eastAsia="Arial"/>
              </w:rPr>
              <w:br/>
              <w:t>(0.26 to 2.02)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0.011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0.001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12,199 </w:t>
            </w:r>
            <w:r w:rsidRPr="00055A23">
              <w:rPr>
                <w:rFonts w:eastAsia="Arial"/>
              </w:rPr>
              <w:t>(3.70%)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0.79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1.24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0.34)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1.69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2.22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1.16)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4.34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6.15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2.50)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6D02FF" w:rsidRPr="00CC6225" w:rsidTr="00A2303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615 </w:t>
            </w:r>
            <w:r w:rsidRPr="00055A23">
              <w:rPr>
                <w:rFonts w:eastAsia="Arial"/>
              </w:rPr>
              <w:t>(0.19%)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3.85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5.19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2.50)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3.85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5.19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2.50)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0.99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2.49 to 0.50)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0.19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0.61</w:t>
            </w:r>
          </w:p>
        </w:tc>
      </w:tr>
      <w:tr w:rsidR="006D02FF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3,423 </w:t>
            </w:r>
            <w:r w:rsidRPr="00055A23">
              <w:rPr>
                <w:rFonts w:eastAsia="Arial"/>
              </w:rPr>
              <w:t>(1.04%)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3.42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4.15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2.67)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4.84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5.65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4.03)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2013-2020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7.44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9.45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5.38)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color w:val="000000"/>
                <w:shd w:val="clear" w:color="auto" w:fill="FFFFFF"/>
              </w:rPr>
              <w:t>Non-Hispanic American Indian Alaska Native</w:t>
            </w: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6D02FF" w:rsidRPr="00CC6225" w:rsidTr="00A2303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Women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bCs/>
                <w:color w:val="000000"/>
              </w:rPr>
            </w:pPr>
            <w:r w:rsidRPr="00055A23">
              <w:rPr>
                <w:bCs/>
                <w:color w:val="000000"/>
              </w:rPr>
              <w:t xml:space="preserve">943 </w:t>
            </w:r>
            <w:r w:rsidRPr="00055A23">
              <w:rPr>
                <w:rFonts w:eastAsia="Arial"/>
                <w:bCs/>
              </w:rPr>
              <w:t>(0.29%)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2000-2020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1.15 (</w:t>
            </w:r>
            <w:r w:rsidRPr="00173DEB">
              <w:rPr>
                <w:rFonts w:eastAsia="Arial"/>
                <w:bCs/>
              </w:rPr>
              <w:t>−</w:t>
            </w:r>
            <w:r w:rsidRPr="00055A23">
              <w:rPr>
                <w:rFonts w:eastAsia="Arial"/>
                <w:bCs/>
              </w:rPr>
              <w:t>0.08 to 2.39)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1.15 (</w:t>
            </w:r>
            <w:r w:rsidRPr="00173DEB">
              <w:rPr>
                <w:rFonts w:eastAsia="Arial"/>
                <w:bCs/>
              </w:rPr>
              <w:t>−</w:t>
            </w:r>
            <w:r w:rsidRPr="00055A23">
              <w:rPr>
                <w:rFonts w:eastAsia="Arial"/>
                <w:bCs/>
              </w:rPr>
              <w:t>0.08 to 2.39)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1.06</w:t>
            </w:r>
            <w:r w:rsidRPr="00055A23">
              <w:rPr>
                <w:rFonts w:eastAsia="Arial"/>
                <w:bCs/>
              </w:rPr>
              <w:br/>
              <w:t>(</w:t>
            </w:r>
            <w:r w:rsidRPr="00173DEB">
              <w:rPr>
                <w:rFonts w:eastAsia="Arial"/>
                <w:bCs/>
              </w:rPr>
              <w:t>−</w:t>
            </w:r>
            <w:r w:rsidRPr="00055A23">
              <w:rPr>
                <w:rFonts w:eastAsia="Arial"/>
                <w:bCs/>
              </w:rPr>
              <w:t>0.28 to 2.41)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0.12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&lt;</w:t>
            </w:r>
            <w:r w:rsidRPr="00173DEB">
              <w:rPr>
                <w:rFonts w:eastAsia="Arial"/>
                <w:bCs/>
              </w:rPr>
              <w:t xml:space="preserve"> </w:t>
            </w:r>
            <w:r w:rsidRPr="00055A23">
              <w:rPr>
                <w:rFonts w:eastAsia="Arial"/>
                <w:bCs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0.04</w:t>
            </w:r>
          </w:p>
        </w:tc>
      </w:tr>
      <w:tr w:rsidR="006D02FF" w:rsidRPr="00CC6225" w:rsidTr="00A2303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bCs/>
                <w:color w:val="000000"/>
              </w:rPr>
            </w:pPr>
            <w:r w:rsidRPr="00055A23">
              <w:rPr>
                <w:bCs/>
                <w:color w:val="000000"/>
              </w:rPr>
              <w:t xml:space="preserve">2,101 </w:t>
            </w:r>
            <w:r w:rsidRPr="00055A23">
              <w:rPr>
                <w:rFonts w:eastAsia="Arial"/>
                <w:bCs/>
              </w:rPr>
              <w:t>(0.64%)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2000-2020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2.21 (1.48 to 2.95)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2.21 (1.48 to 2.95)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6D02FF" w:rsidRPr="00CC6225" w:rsidTr="00A2303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lastRenderedPageBreak/>
              <w:t>Women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bCs/>
                <w:color w:val="000000"/>
              </w:rPr>
            </w:pPr>
            <w:r w:rsidRPr="00055A23">
              <w:rPr>
                <w:bCs/>
                <w:color w:val="000000"/>
              </w:rPr>
              <w:t xml:space="preserve">846 </w:t>
            </w:r>
            <w:r w:rsidRPr="00055A23">
              <w:rPr>
                <w:rFonts w:eastAsia="Arial"/>
                <w:bCs/>
              </w:rPr>
              <w:t>(0.26%)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2000-2020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1.09 (</w:t>
            </w:r>
            <w:r w:rsidRPr="00173DEB">
              <w:rPr>
                <w:rFonts w:eastAsia="Arial"/>
                <w:bCs/>
              </w:rPr>
              <w:t>−</w:t>
            </w:r>
            <w:r w:rsidRPr="00055A23">
              <w:rPr>
                <w:rFonts w:eastAsia="Arial"/>
                <w:bCs/>
              </w:rPr>
              <w:t>0.22 to 2.42)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1.09 (</w:t>
            </w:r>
            <w:r w:rsidRPr="00173DEB">
              <w:rPr>
                <w:rFonts w:eastAsia="Arial"/>
                <w:bCs/>
              </w:rPr>
              <w:t>−</w:t>
            </w:r>
            <w:r w:rsidRPr="00055A23">
              <w:rPr>
                <w:rFonts w:eastAsia="Arial"/>
                <w:bCs/>
              </w:rPr>
              <w:t>0.22 to 2.42)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2.04</w:t>
            </w:r>
            <w:r w:rsidRPr="00055A23">
              <w:rPr>
                <w:rFonts w:eastAsia="Arial"/>
                <w:bCs/>
              </w:rPr>
              <w:br/>
              <w:t>(0.50 to 3.57)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0.009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&lt;</w:t>
            </w:r>
            <w:r w:rsidRPr="00173DEB">
              <w:rPr>
                <w:rFonts w:eastAsia="Arial"/>
                <w:bCs/>
              </w:rPr>
              <w:t xml:space="preserve"> </w:t>
            </w:r>
            <w:r w:rsidRPr="00055A23">
              <w:rPr>
                <w:rFonts w:eastAsia="Arial"/>
                <w:bCs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0.003</w:t>
            </w:r>
          </w:p>
        </w:tc>
      </w:tr>
      <w:tr w:rsidR="006D02FF" w:rsidRPr="00CC6225" w:rsidTr="00A2303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bCs/>
                <w:color w:val="000000"/>
              </w:rPr>
            </w:pPr>
            <w:r w:rsidRPr="00055A23">
              <w:rPr>
                <w:bCs/>
                <w:color w:val="000000"/>
              </w:rPr>
              <w:t xml:space="preserve">1,709 </w:t>
            </w:r>
            <w:r w:rsidRPr="00055A23">
              <w:rPr>
                <w:rFonts w:eastAsia="Arial"/>
                <w:bCs/>
              </w:rPr>
              <w:t>(0.52%)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2000-2020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3.13 (2.17 to 4.09)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3.13 (2.17 to 4.09)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</w:p>
        </w:tc>
      </w:tr>
      <w:tr w:rsidR="006D02FF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6D02FF" w:rsidRPr="00CC6225" w:rsidTr="00A2303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92 </w:t>
            </w:r>
            <w:r w:rsidRPr="00055A23">
              <w:rPr>
                <w:rFonts w:eastAsia="Arial"/>
              </w:rPr>
              <w:t>(0.03%)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1.79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1.56 to 5.25)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1.79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1.56 to 5.25)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4.51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8.19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0.82)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0.01</w:t>
            </w:r>
          </w:p>
        </w:tc>
      </w:tr>
      <w:tr w:rsidR="006D02FF" w:rsidRPr="00CC6225" w:rsidTr="00A2303B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385 </w:t>
            </w:r>
            <w:r w:rsidRPr="00055A23">
              <w:rPr>
                <w:rFonts w:eastAsia="Arial"/>
              </w:rPr>
              <w:t>(0.12%)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2.72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4.66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0.74)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2.72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4.66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0.74)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FF" w:rsidRPr="00055A23" w:rsidRDefault="006D02FF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</w:tbl>
    <w:p w:rsidR="006D02FF" w:rsidRPr="00055A23" w:rsidRDefault="006D02FF" w:rsidP="006D02FF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a</w:t>
      </w:r>
      <w:r w:rsidRPr="00055A23">
        <w:t>Data are presented as death count numbers followed by percentages of the death count numbers from the total cases of deaths attributed to HCC in the database.</w:t>
      </w:r>
    </w:p>
    <w:p w:rsidR="006D02FF" w:rsidRPr="00055A23" w:rsidRDefault="006D02FF" w:rsidP="006D02FF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b</w:t>
      </w:r>
      <w:r w:rsidRPr="00055A23">
        <w:t>Time</w:t>
      </w:r>
      <w:r>
        <w:t xml:space="preserve"> </w:t>
      </w:r>
      <w:r w:rsidRPr="00055A23">
        <w:t xml:space="preserve">trends were computed using </w:t>
      </w:r>
      <w:r w:rsidRPr="00406647">
        <w:t xml:space="preserve">joinpoint regression program </w:t>
      </w:r>
      <w:r w:rsidRPr="00055A23">
        <w:t>(v4.9.0.1, NCI)</w:t>
      </w:r>
      <w:r>
        <w:t>,</w:t>
      </w:r>
      <w:r w:rsidRPr="00055A23">
        <w:t xml:space="preserve"> with 3 maximum joinpoints allowed (4-line segments). </w:t>
      </w:r>
    </w:p>
    <w:p w:rsidR="006D02FF" w:rsidRPr="00055A23" w:rsidRDefault="006D02FF" w:rsidP="006D02FF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c</w:t>
      </w:r>
      <w:r w:rsidRPr="00055A23">
        <w:t>A negative value indicates a greater AAPC in women compared to men. </w:t>
      </w:r>
    </w:p>
    <w:p w:rsidR="006D02FF" w:rsidRPr="00055A23" w:rsidRDefault="006D02FF" w:rsidP="006D02FF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d</w:t>
      </w:r>
      <w:r w:rsidRPr="00055A23">
        <w:t xml:space="preserve">Tests whether sex-specific trends were identical. A significant </w:t>
      </w:r>
      <w:r w:rsidRPr="00055A23">
        <w:rPr>
          <w:i/>
          <w:iCs/>
        </w:rPr>
        <w:t>p</w:t>
      </w:r>
      <w:r w:rsidRPr="00055A23">
        <w:t>-value indicates that the trends were not identical (i.e. they had different mortality rates and coincidence was rejected). </w:t>
      </w:r>
    </w:p>
    <w:p w:rsidR="006D02FF" w:rsidRPr="00055A23" w:rsidRDefault="006D02FF" w:rsidP="006D02FF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e</w:t>
      </w:r>
      <w:r w:rsidRPr="00055A23">
        <w:t xml:space="preserve">Tests whether sex-specific trends were parallel. A significant </w:t>
      </w:r>
      <w:r w:rsidRPr="00055A23">
        <w:rPr>
          <w:i/>
          <w:iCs/>
        </w:rPr>
        <w:t>p</w:t>
      </w:r>
      <w:r w:rsidRPr="00055A23">
        <w:t>-value indicates that the trends were not parallel (i.e. parallelism was rejected). </w:t>
      </w:r>
    </w:p>
    <w:p w:rsidR="006D02FF" w:rsidRPr="00055A23" w:rsidRDefault="006D02FF" w:rsidP="006D02FF">
      <w:pPr>
        <w:snapToGrid w:val="0"/>
        <w:spacing w:line="480" w:lineRule="auto"/>
        <w:jc w:val="both"/>
        <w:textAlignment w:val="baseline"/>
      </w:pPr>
      <w:r>
        <w:t>HCC: Hepatocellular Carcinoma, APC: Annual Percentage Change, AAPC: Average Annual Percentage Change.</w:t>
      </w:r>
    </w:p>
    <w:p w:rsidR="006D02FF" w:rsidRPr="00055A23" w:rsidRDefault="006D02FF" w:rsidP="006D02FF">
      <w:pPr>
        <w:snapToGrid w:val="0"/>
        <w:spacing w:line="480" w:lineRule="auto"/>
        <w:jc w:val="both"/>
        <w:textAlignment w:val="baseline"/>
      </w:pPr>
    </w:p>
    <w:p w:rsidR="006D02FF" w:rsidRPr="00055A23" w:rsidRDefault="006D02FF" w:rsidP="006D02FF">
      <w:pPr>
        <w:snapToGrid w:val="0"/>
        <w:spacing w:line="480" w:lineRule="auto"/>
        <w:jc w:val="both"/>
        <w:textAlignment w:val="baseline"/>
      </w:pPr>
    </w:p>
    <w:p w:rsidR="006D02FF" w:rsidRPr="00055A23" w:rsidRDefault="006D02FF" w:rsidP="006D02FF">
      <w:pPr>
        <w:snapToGrid w:val="0"/>
        <w:spacing w:line="480" w:lineRule="auto"/>
        <w:jc w:val="both"/>
      </w:pPr>
    </w:p>
    <w:p w:rsidR="00A36228" w:rsidRDefault="00A36228"/>
    <w:sectPr w:rsidR="00A362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6D02FF"/>
    <w:rsid w:val="006D02FF"/>
    <w:rsid w:val="00A3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2023-12-26T13:26:00Z</dcterms:created>
  <dcterms:modified xsi:type="dcterms:W3CDTF">2023-12-26T13:26:00Z</dcterms:modified>
</cp:coreProperties>
</file>