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7A" w:rsidRPr="0053433D" w:rsidRDefault="00041A7A" w:rsidP="00041A7A">
      <w:pPr>
        <w:keepNext/>
        <w:spacing w:before="60" w:after="0"/>
        <w:jc w:val="both"/>
        <w:rPr>
          <w:b/>
          <w:bCs/>
          <w:sz w:val="24"/>
          <w:szCs w:val="24"/>
          <w:lang w:eastAsia="zh-CN"/>
        </w:rPr>
      </w:pPr>
      <w:r w:rsidRPr="0053433D">
        <w:rPr>
          <w:b/>
          <w:bCs/>
          <w:sz w:val="24"/>
          <w:szCs w:val="24"/>
        </w:rPr>
        <w:t>Supplementa</w:t>
      </w:r>
      <w:r>
        <w:rPr>
          <w:b/>
          <w:bCs/>
          <w:sz w:val="24"/>
          <w:szCs w:val="24"/>
          <w:lang w:eastAsia="zh-CN"/>
        </w:rPr>
        <w:t xml:space="preserve">ry </w:t>
      </w:r>
      <w:r w:rsidRPr="0053433D">
        <w:rPr>
          <w:b/>
          <w:bCs/>
          <w:sz w:val="24"/>
          <w:szCs w:val="24"/>
          <w:lang w:eastAsia="zh-CN"/>
        </w:rPr>
        <w:t>Table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4.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Resistance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surveillance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at</w:t>
      </w:r>
      <w:r>
        <w:rPr>
          <w:b/>
          <w:bCs/>
          <w:sz w:val="24"/>
          <w:szCs w:val="24"/>
          <w:lang w:eastAsia="zh-CN"/>
        </w:rPr>
        <w:t xml:space="preserve"> y</w:t>
      </w:r>
      <w:r w:rsidRPr="0053433D">
        <w:rPr>
          <w:b/>
          <w:bCs/>
          <w:sz w:val="24"/>
          <w:szCs w:val="24"/>
          <w:lang w:eastAsia="zh-CN"/>
        </w:rPr>
        <w:t>ear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4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(</w:t>
      </w:r>
      <w:r>
        <w:rPr>
          <w:b/>
          <w:bCs/>
          <w:sz w:val="24"/>
          <w:szCs w:val="24"/>
          <w:lang w:eastAsia="zh-CN"/>
        </w:rPr>
        <w:t>w</w:t>
      </w:r>
      <w:r w:rsidRPr="0053433D">
        <w:rPr>
          <w:b/>
          <w:bCs/>
          <w:sz w:val="24"/>
          <w:szCs w:val="24"/>
          <w:lang w:eastAsia="zh-CN"/>
        </w:rPr>
        <w:t>eek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192)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and</w:t>
      </w:r>
      <w:r>
        <w:rPr>
          <w:b/>
          <w:bCs/>
          <w:sz w:val="24"/>
          <w:szCs w:val="24"/>
          <w:lang w:eastAsia="zh-CN"/>
        </w:rPr>
        <w:t xml:space="preserve"> y</w:t>
      </w:r>
      <w:r w:rsidRPr="0053433D">
        <w:rPr>
          <w:b/>
          <w:bCs/>
          <w:sz w:val="24"/>
          <w:szCs w:val="24"/>
          <w:lang w:eastAsia="zh-CN"/>
        </w:rPr>
        <w:t>ear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5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(</w:t>
      </w:r>
      <w:r>
        <w:rPr>
          <w:b/>
          <w:bCs/>
          <w:sz w:val="24"/>
          <w:szCs w:val="24"/>
          <w:lang w:eastAsia="zh-CN"/>
        </w:rPr>
        <w:t>w</w:t>
      </w:r>
      <w:r w:rsidRPr="0053433D">
        <w:rPr>
          <w:b/>
          <w:bCs/>
          <w:sz w:val="24"/>
          <w:szCs w:val="24"/>
          <w:lang w:eastAsia="zh-CN"/>
        </w:rPr>
        <w:t>eek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433D">
        <w:rPr>
          <w:b/>
          <w:bCs/>
          <w:sz w:val="24"/>
          <w:szCs w:val="24"/>
          <w:lang w:eastAsia="zh-CN"/>
        </w:rPr>
        <w:t>240)</w:t>
      </w:r>
    </w:p>
    <w:tbl>
      <w:tblPr>
        <w:tblStyle w:val="TableGrid1"/>
        <w:tblW w:w="5009" w:type="pct"/>
        <w:tblLayout w:type="fixed"/>
        <w:tblLook w:val="04A0"/>
      </w:tblPr>
      <w:tblGrid>
        <w:gridCol w:w="2684"/>
        <w:gridCol w:w="1031"/>
        <w:gridCol w:w="1033"/>
        <w:gridCol w:w="1033"/>
        <w:gridCol w:w="1031"/>
        <w:gridCol w:w="1033"/>
        <w:gridCol w:w="1027"/>
      </w:tblGrid>
      <w:tr w:rsidR="00041A7A" w:rsidRPr="00676FC9" w:rsidTr="00536BCB">
        <w:trPr>
          <w:trHeight w:val="247"/>
        </w:trPr>
        <w:tc>
          <w:tcPr>
            <w:tcW w:w="1513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b/>
                <w:sz w:val="24"/>
                <w:szCs w:val="24"/>
              </w:rPr>
            </w:pPr>
            <w:bookmarkStart w:id="0" w:name="_Hlk99457240"/>
          </w:p>
        </w:tc>
        <w:tc>
          <w:tcPr>
            <w:tcW w:w="1744" w:type="pct"/>
            <w:gridSpan w:val="3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433D">
              <w:rPr>
                <w:rFonts w:eastAsia="Arial Unicode MS"/>
                <w:b/>
                <w:sz w:val="24"/>
                <w:szCs w:val="24"/>
              </w:rPr>
              <w:t>Week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b/>
                <w:sz w:val="24"/>
                <w:szCs w:val="24"/>
              </w:rPr>
              <w:t>192</w:t>
            </w:r>
          </w:p>
        </w:tc>
        <w:tc>
          <w:tcPr>
            <w:tcW w:w="1743" w:type="pct"/>
            <w:gridSpan w:val="3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433D">
              <w:rPr>
                <w:rFonts w:eastAsia="Arial Unicode MS"/>
                <w:b/>
                <w:sz w:val="24"/>
                <w:szCs w:val="24"/>
              </w:rPr>
              <w:t>Week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b/>
                <w:sz w:val="24"/>
                <w:szCs w:val="24"/>
              </w:rPr>
              <w:t>240</w:t>
            </w:r>
          </w:p>
        </w:tc>
      </w:tr>
      <w:tr w:rsidR="00041A7A" w:rsidRPr="00676FC9" w:rsidTr="00536BCB">
        <w:trPr>
          <w:trHeight w:val="254"/>
        </w:trPr>
        <w:tc>
          <w:tcPr>
            <w:tcW w:w="1513" w:type="pct"/>
            <w:vAlign w:val="center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53433D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581" w:type="pct"/>
            <w:vAlign w:val="center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433D">
              <w:rPr>
                <w:rFonts w:eastAsia="Arial Unicode MS"/>
                <w:b/>
                <w:sz w:val="24"/>
                <w:szCs w:val="24"/>
              </w:rPr>
              <w:t>TAF-TAF</w:t>
            </w:r>
          </w:p>
        </w:tc>
        <w:tc>
          <w:tcPr>
            <w:tcW w:w="582" w:type="pct"/>
            <w:vAlign w:val="center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433D">
              <w:rPr>
                <w:rFonts w:eastAsia="Arial Unicode MS"/>
                <w:b/>
                <w:sz w:val="24"/>
                <w:szCs w:val="24"/>
              </w:rPr>
              <w:t>TDF-TAF</w:t>
            </w:r>
          </w:p>
        </w:tc>
        <w:tc>
          <w:tcPr>
            <w:tcW w:w="582" w:type="pct"/>
            <w:vAlign w:val="center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433D">
              <w:rPr>
                <w:rFonts w:eastAsia="Arial Unicode MS"/>
                <w:b/>
                <w:sz w:val="24"/>
                <w:szCs w:val="24"/>
              </w:rPr>
              <w:t>All</w:t>
            </w:r>
          </w:p>
        </w:tc>
        <w:tc>
          <w:tcPr>
            <w:tcW w:w="581" w:type="pct"/>
            <w:vAlign w:val="center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433D">
              <w:rPr>
                <w:rFonts w:eastAsia="Arial Unicode MS"/>
                <w:b/>
                <w:sz w:val="24"/>
                <w:szCs w:val="24"/>
              </w:rPr>
              <w:t>TAF-TAF</w:t>
            </w:r>
          </w:p>
        </w:tc>
        <w:tc>
          <w:tcPr>
            <w:tcW w:w="582" w:type="pct"/>
            <w:vAlign w:val="center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433D">
              <w:rPr>
                <w:rFonts w:eastAsia="Arial Unicode MS"/>
                <w:b/>
                <w:sz w:val="24"/>
                <w:szCs w:val="24"/>
              </w:rPr>
              <w:t>TDF-TAF</w:t>
            </w:r>
          </w:p>
        </w:tc>
        <w:tc>
          <w:tcPr>
            <w:tcW w:w="580" w:type="pct"/>
            <w:vAlign w:val="center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3433D">
              <w:rPr>
                <w:rFonts w:eastAsia="Arial Unicode MS"/>
                <w:b/>
                <w:sz w:val="24"/>
                <w:szCs w:val="24"/>
              </w:rPr>
              <w:t>All</w:t>
            </w:r>
          </w:p>
        </w:tc>
      </w:tr>
      <w:tr w:rsidR="00041A7A" w:rsidRPr="00676FC9" w:rsidTr="00536BCB">
        <w:trPr>
          <w:trHeight w:val="247"/>
        </w:trPr>
        <w:tc>
          <w:tcPr>
            <w:tcW w:w="1513" w:type="pct"/>
          </w:tcPr>
          <w:p w:rsidR="00041A7A" w:rsidRPr="0053433D" w:rsidRDefault="00041A7A" w:rsidP="00536BCB">
            <w:pPr>
              <w:tabs>
                <w:tab w:val="left" w:pos="360"/>
                <w:tab w:val="left" w:pos="720"/>
              </w:tabs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HBV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DNA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 w:hint="eastAsia"/>
                <w:sz w:val="24"/>
                <w:szCs w:val="24"/>
              </w:rPr>
              <w:t>≥</w:t>
            </w:r>
            <w:r w:rsidRPr="0053433D">
              <w:rPr>
                <w:rFonts w:eastAsia="Arial Unicode MS"/>
                <w:sz w:val="24"/>
                <w:szCs w:val="24"/>
              </w:rPr>
              <w:t>69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IU/mL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7</w:t>
            </w:r>
          </w:p>
        </w:tc>
      </w:tr>
      <w:tr w:rsidR="00041A7A" w:rsidRPr="00676FC9" w:rsidTr="00536BCB">
        <w:trPr>
          <w:trHeight w:val="254"/>
        </w:trPr>
        <w:tc>
          <w:tcPr>
            <w:tcW w:w="1513" w:type="pct"/>
          </w:tcPr>
          <w:p w:rsidR="00041A7A" w:rsidRPr="0053433D" w:rsidRDefault="00041A7A" w:rsidP="00536BCB">
            <w:pPr>
              <w:tabs>
                <w:tab w:val="left" w:pos="360"/>
                <w:tab w:val="left" w:pos="720"/>
              </w:tabs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Qualified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for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sequencing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7</w:t>
            </w:r>
          </w:p>
        </w:tc>
      </w:tr>
      <w:tr w:rsidR="00041A7A" w:rsidRPr="00676FC9" w:rsidTr="00536BCB">
        <w:trPr>
          <w:trHeight w:val="247"/>
        </w:trPr>
        <w:tc>
          <w:tcPr>
            <w:tcW w:w="1513" w:type="pct"/>
            <w:hideMark/>
          </w:tcPr>
          <w:p w:rsidR="00041A7A" w:rsidRPr="0053433D" w:rsidRDefault="00041A7A" w:rsidP="00536BCB">
            <w:pPr>
              <w:tabs>
                <w:tab w:val="left" w:pos="360"/>
                <w:tab w:val="left" w:pos="720"/>
              </w:tabs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Unable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to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sequence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80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041A7A" w:rsidRPr="00676FC9" w:rsidTr="00536BCB">
        <w:trPr>
          <w:trHeight w:val="254"/>
        </w:trPr>
        <w:tc>
          <w:tcPr>
            <w:tcW w:w="1513" w:type="pct"/>
          </w:tcPr>
          <w:p w:rsidR="00041A7A" w:rsidRPr="0053433D" w:rsidRDefault="00041A7A" w:rsidP="00536BCB">
            <w:pPr>
              <w:tabs>
                <w:tab w:val="left" w:pos="360"/>
                <w:tab w:val="left" w:pos="720"/>
              </w:tabs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No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change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from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baseline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80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2</w:t>
            </w:r>
          </w:p>
        </w:tc>
      </w:tr>
      <w:tr w:rsidR="00041A7A" w:rsidRPr="00676FC9" w:rsidTr="00536BCB">
        <w:trPr>
          <w:trHeight w:val="247"/>
        </w:trPr>
        <w:tc>
          <w:tcPr>
            <w:tcW w:w="1513" w:type="pct"/>
          </w:tcPr>
          <w:p w:rsidR="00041A7A" w:rsidRPr="0053433D" w:rsidRDefault="00041A7A" w:rsidP="00536BCB">
            <w:pPr>
              <w:tabs>
                <w:tab w:val="left" w:pos="360"/>
                <w:tab w:val="left" w:pos="720"/>
              </w:tabs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Polymorphic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site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substitution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5</w:t>
            </w:r>
          </w:p>
        </w:tc>
      </w:tr>
      <w:tr w:rsidR="00041A7A" w:rsidRPr="00676FC9" w:rsidTr="00536BCB">
        <w:trPr>
          <w:trHeight w:val="254"/>
        </w:trPr>
        <w:tc>
          <w:tcPr>
            <w:tcW w:w="1513" w:type="pct"/>
          </w:tcPr>
          <w:p w:rsidR="00041A7A" w:rsidRPr="0053433D" w:rsidRDefault="00041A7A" w:rsidP="00536BCB">
            <w:pPr>
              <w:tabs>
                <w:tab w:val="left" w:pos="360"/>
                <w:tab w:val="left" w:pos="720"/>
              </w:tabs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Conserved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site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substitution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80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041A7A" w:rsidRPr="00676FC9" w:rsidTr="00536BCB">
        <w:trPr>
          <w:trHeight w:val="254"/>
        </w:trPr>
        <w:tc>
          <w:tcPr>
            <w:tcW w:w="1513" w:type="pct"/>
          </w:tcPr>
          <w:p w:rsidR="00041A7A" w:rsidRPr="0053433D" w:rsidRDefault="00041A7A" w:rsidP="00536BCB">
            <w:pPr>
              <w:tabs>
                <w:tab w:val="left" w:pos="360"/>
                <w:tab w:val="left" w:pos="720"/>
              </w:tabs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Qualified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for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3433D">
              <w:rPr>
                <w:rFonts w:eastAsia="Arial Unicode MS"/>
                <w:sz w:val="24"/>
                <w:szCs w:val="24"/>
              </w:rPr>
              <w:t>phenotyping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keepNext/>
              <w:keepLines/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581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041A7A" w:rsidRPr="0053433D" w:rsidRDefault="00041A7A" w:rsidP="00536BCB">
            <w:pPr>
              <w:spacing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3433D">
              <w:rPr>
                <w:rFonts w:eastAsia="Arial Unicode MS"/>
                <w:sz w:val="24"/>
                <w:szCs w:val="24"/>
              </w:rPr>
              <w:t>2</w:t>
            </w:r>
          </w:p>
        </w:tc>
      </w:tr>
    </w:tbl>
    <w:bookmarkEnd w:id="0"/>
    <w:p w:rsidR="00041A7A" w:rsidRDefault="00041A7A" w:rsidP="00041A7A">
      <w:pPr>
        <w:spacing w:before="60" w:after="0"/>
        <w:jc w:val="both"/>
        <w:rPr>
          <w:sz w:val="24"/>
          <w:szCs w:val="24"/>
        </w:rPr>
      </w:pPr>
      <w:r w:rsidRPr="0053433D">
        <w:rPr>
          <w:sz w:val="24"/>
          <w:szCs w:val="24"/>
        </w:rPr>
        <w:t>HBV,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hepatitis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virus;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TAF,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alafenamide;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TDF,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disoproxil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fumarate</w:t>
      </w:r>
    </w:p>
    <w:p w:rsidR="00B62711" w:rsidRDefault="00B62711"/>
    <w:sectPr w:rsidR="00B627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041A7A"/>
    <w:rsid w:val="00041A7A"/>
    <w:rsid w:val="00B6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41A7A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41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2024-03-31T12:56:00Z</dcterms:created>
  <dcterms:modified xsi:type="dcterms:W3CDTF">2024-03-31T12:56:00Z</dcterms:modified>
</cp:coreProperties>
</file>