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DC" w:rsidRPr="0053433D" w:rsidRDefault="00BE5ADC" w:rsidP="00BE5ADC">
      <w:pPr>
        <w:spacing w:before="60" w:after="0"/>
        <w:jc w:val="both"/>
        <w:rPr>
          <w:b/>
          <w:bCs/>
          <w:sz w:val="24"/>
          <w:szCs w:val="24"/>
          <w:lang w:eastAsia="zh-CN"/>
        </w:rPr>
      </w:pPr>
    </w:p>
    <w:p w:rsidR="00BE5ADC" w:rsidRPr="0053433D" w:rsidRDefault="00BE5ADC" w:rsidP="00BE5ADC">
      <w:pPr>
        <w:spacing w:after="0"/>
        <w:contextualSpacing/>
        <w:jc w:val="both"/>
        <w:rPr>
          <w:sz w:val="24"/>
          <w:szCs w:val="24"/>
        </w:rPr>
      </w:pPr>
      <w:r w:rsidRPr="0053433D">
        <w:rPr>
          <w:b/>
          <w:bCs/>
          <w:sz w:val="24"/>
          <w:szCs w:val="24"/>
        </w:rPr>
        <w:t>Supplementa</w:t>
      </w:r>
      <w:r>
        <w:rPr>
          <w:b/>
          <w:bCs/>
          <w:sz w:val="24"/>
          <w:szCs w:val="24"/>
          <w:lang w:eastAsia="zh-CN"/>
        </w:rPr>
        <w:t>ry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Table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Proportion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of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participants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with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ALT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normalization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by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2016</w:t>
      </w:r>
      <w:r w:rsidRPr="0053433D">
        <w:rPr>
          <w:b/>
          <w:bCs/>
          <w:sz w:val="24"/>
          <w:szCs w:val="24"/>
          <w:vertAlign w:val="superscript"/>
        </w:rPr>
        <w:t>*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2018</w:t>
      </w:r>
      <w:r w:rsidRPr="0053433D">
        <w:rPr>
          <w:b/>
          <w:bCs/>
          <w:sz w:val="24"/>
          <w:szCs w:val="24"/>
          <w:vertAlign w:val="superscript"/>
        </w:rPr>
        <w:t>†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AASLD</w:t>
      </w:r>
      <w:r>
        <w:rPr>
          <w:b/>
          <w:bCs/>
          <w:sz w:val="24"/>
          <w:szCs w:val="24"/>
        </w:rPr>
        <w:t xml:space="preserve"> </w:t>
      </w:r>
      <w:r w:rsidRPr="0053433D">
        <w:rPr>
          <w:b/>
          <w:bCs/>
          <w:sz w:val="24"/>
          <w:szCs w:val="24"/>
        </w:rPr>
        <w:t>criteria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38"/>
        <w:gridCol w:w="1735"/>
        <w:gridCol w:w="1724"/>
        <w:gridCol w:w="1735"/>
        <w:gridCol w:w="1724"/>
      </w:tblGrid>
      <w:tr w:rsidR="00BE5ADC" w:rsidRPr="00676FC9" w:rsidTr="00536BCB">
        <w:trPr>
          <w:trHeight w:val="555"/>
        </w:trPr>
        <w:tc>
          <w:tcPr>
            <w:tcW w:w="1980" w:type="dxa"/>
            <w:vMerge w:val="restart"/>
            <w:tcBorders>
              <w:right w:val="nil"/>
            </w:tcBorders>
            <w:vAlign w:val="center"/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ALT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normalization,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i/>
                <w:iCs/>
                <w:sz w:val="24"/>
                <w:szCs w:val="24"/>
              </w:rPr>
              <w:t>n</w:t>
            </w:r>
            <w:r w:rsidRPr="0053433D">
              <w:rPr>
                <w:b/>
                <w:bCs/>
                <w:sz w:val="24"/>
                <w:szCs w:val="24"/>
              </w:rPr>
              <w:t>/</w:t>
            </w:r>
            <w:r w:rsidRPr="0053433D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3690" w:type="dxa"/>
            <w:gridSpan w:val="2"/>
            <w:tcBorders>
              <w:left w:val="nil"/>
            </w:tcBorders>
            <w:vAlign w:val="center"/>
          </w:tcPr>
          <w:p w:rsidR="00BE5ADC" w:rsidRPr="0053433D" w:rsidRDefault="00BE5ADC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2016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  <w:lang w:eastAsia="zh-CN"/>
              </w:rPr>
              <w:t>AASLD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  <w:lang w:eastAsia="zh-CN"/>
              </w:rPr>
              <w:t>criteria</w:t>
            </w:r>
            <w:r w:rsidRPr="0053433D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90" w:type="dxa"/>
            <w:gridSpan w:val="2"/>
            <w:tcBorders>
              <w:left w:val="nil"/>
            </w:tcBorders>
            <w:vAlign w:val="center"/>
          </w:tcPr>
          <w:p w:rsidR="00BE5ADC" w:rsidRPr="0053433D" w:rsidRDefault="00BE5ADC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2018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  <w:lang w:eastAsia="zh-CN"/>
              </w:rPr>
              <w:t>AASLD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  <w:lang w:eastAsia="zh-CN"/>
              </w:rPr>
              <w:t>criteria</w:t>
            </w:r>
            <w:r w:rsidRPr="0053433D">
              <w:rPr>
                <w:b/>
                <w:bCs/>
                <w:sz w:val="24"/>
                <w:szCs w:val="24"/>
                <w:vertAlign w:val="superscript"/>
              </w:rPr>
              <w:t>†</w:t>
            </w:r>
          </w:p>
        </w:tc>
      </w:tr>
      <w:tr w:rsidR="00BE5ADC" w:rsidRPr="00676FC9" w:rsidTr="00536BCB">
        <w:trPr>
          <w:trHeight w:val="555"/>
        </w:trPr>
        <w:tc>
          <w:tcPr>
            <w:tcW w:w="1980" w:type="dxa"/>
            <w:vMerge/>
            <w:tcBorders>
              <w:right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BE5ADC" w:rsidRPr="0053433D" w:rsidRDefault="00BE5ADC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TAF-TAF</w:t>
            </w:r>
          </w:p>
          <w:p w:rsidR="00BE5ADC" w:rsidRPr="0053433D" w:rsidRDefault="00BE5ADC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53433D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197)</w:t>
            </w:r>
          </w:p>
        </w:tc>
        <w:tc>
          <w:tcPr>
            <w:tcW w:w="1845" w:type="dxa"/>
            <w:tcBorders>
              <w:left w:val="nil"/>
            </w:tcBorders>
          </w:tcPr>
          <w:p w:rsidR="00BE5ADC" w:rsidRPr="0053433D" w:rsidRDefault="00BE5ADC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TDF-TAF</w:t>
            </w:r>
          </w:p>
          <w:p w:rsidR="00BE5ADC" w:rsidRPr="0053433D" w:rsidRDefault="00BE5ADC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BF37E2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91)</w:t>
            </w:r>
          </w:p>
        </w:tc>
        <w:tc>
          <w:tcPr>
            <w:tcW w:w="1845" w:type="dxa"/>
            <w:tcBorders>
              <w:left w:val="nil"/>
            </w:tcBorders>
          </w:tcPr>
          <w:p w:rsidR="00BE5ADC" w:rsidRPr="0053433D" w:rsidRDefault="00BE5ADC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TAF-TAF</w:t>
            </w:r>
          </w:p>
          <w:p w:rsidR="00BE5ADC" w:rsidRPr="0053433D" w:rsidRDefault="00BE5ADC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BF37E2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197)</w:t>
            </w:r>
          </w:p>
        </w:tc>
        <w:tc>
          <w:tcPr>
            <w:tcW w:w="1845" w:type="dxa"/>
            <w:tcBorders>
              <w:left w:val="nil"/>
            </w:tcBorders>
          </w:tcPr>
          <w:p w:rsidR="00BE5ADC" w:rsidRPr="0053433D" w:rsidRDefault="00BE5ADC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TDF-TAF</w:t>
            </w:r>
          </w:p>
          <w:p w:rsidR="00BE5ADC" w:rsidRPr="0053433D" w:rsidRDefault="00BE5ADC" w:rsidP="00536BCB">
            <w:pPr>
              <w:jc w:val="both"/>
              <w:rPr>
                <w:b/>
                <w:bCs/>
                <w:sz w:val="24"/>
                <w:szCs w:val="24"/>
              </w:rPr>
            </w:pPr>
            <w:r w:rsidRPr="0053433D">
              <w:rPr>
                <w:b/>
                <w:bCs/>
                <w:sz w:val="24"/>
                <w:szCs w:val="24"/>
              </w:rPr>
              <w:t>(</w:t>
            </w:r>
            <w:r w:rsidRPr="00BF37E2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3433D">
              <w:rPr>
                <w:b/>
                <w:bCs/>
                <w:sz w:val="24"/>
                <w:szCs w:val="24"/>
              </w:rPr>
              <w:t>91)</w:t>
            </w:r>
          </w:p>
        </w:tc>
      </w:tr>
      <w:tr w:rsidR="00BE5ADC" w:rsidRPr="00676FC9" w:rsidTr="00536BCB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E5ADC" w:rsidRPr="0053433D" w:rsidRDefault="00BE5ADC" w:rsidP="00536BCB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week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48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126/197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(64.0%)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47/91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(51.6%)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139/191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(72.8%)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58/88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(65.9%)</w:t>
            </w:r>
          </w:p>
        </w:tc>
      </w:tr>
      <w:tr w:rsidR="00BE5ADC" w:rsidRPr="00676FC9" w:rsidTr="00536BCB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E5ADC" w:rsidRPr="0053433D" w:rsidRDefault="00BE5ADC" w:rsidP="00536BCB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week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96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137/197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(69.5%)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49/91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(53.8%)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153/191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(80.1%)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57/88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(64.8%)</w:t>
            </w:r>
          </w:p>
        </w:tc>
      </w:tr>
      <w:tr w:rsidR="00BE5ADC" w:rsidRPr="00676FC9" w:rsidTr="00536BCB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E5ADC" w:rsidRPr="0053433D" w:rsidRDefault="00BE5ADC" w:rsidP="00536BCB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week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144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141/197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(71.6%)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58/91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(63.7%)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159/191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(83.2%)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66/88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(75.0%)</w:t>
            </w:r>
          </w:p>
        </w:tc>
      </w:tr>
      <w:tr w:rsidR="00BE5ADC" w:rsidRPr="00676FC9" w:rsidTr="00536BCB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E5ADC" w:rsidRPr="0053433D" w:rsidRDefault="00BE5ADC" w:rsidP="00536BCB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week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192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130/197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(66.0%)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64/91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(70.3%)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147/191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(77.0%)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70/88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(79.5%)</w:t>
            </w:r>
          </w:p>
        </w:tc>
      </w:tr>
      <w:tr w:rsidR="00BE5ADC" w:rsidRPr="00676FC9" w:rsidTr="00536BCB">
        <w:tc>
          <w:tcPr>
            <w:tcW w:w="1980" w:type="dxa"/>
            <w:tcBorders>
              <w:top w:val="nil"/>
              <w:right w:val="nil"/>
            </w:tcBorders>
          </w:tcPr>
          <w:p w:rsidR="00BE5ADC" w:rsidRPr="0053433D" w:rsidRDefault="00BE5ADC" w:rsidP="00536BCB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week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240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134/197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(68.0%)</w:t>
            </w:r>
          </w:p>
        </w:tc>
        <w:tc>
          <w:tcPr>
            <w:tcW w:w="1845" w:type="dxa"/>
            <w:tcBorders>
              <w:top w:val="nil"/>
              <w:left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63/91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(69.2%)</w:t>
            </w:r>
          </w:p>
        </w:tc>
        <w:tc>
          <w:tcPr>
            <w:tcW w:w="1845" w:type="dxa"/>
            <w:tcBorders>
              <w:top w:val="nil"/>
              <w:left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154/191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(80.6%)</w:t>
            </w:r>
          </w:p>
        </w:tc>
        <w:tc>
          <w:tcPr>
            <w:tcW w:w="1845" w:type="dxa"/>
            <w:tcBorders>
              <w:top w:val="nil"/>
              <w:left w:val="nil"/>
            </w:tcBorders>
          </w:tcPr>
          <w:p w:rsidR="00BE5ADC" w:rsidRPr="0053433D" w:rsidRDefault="00BE5ADC" w:rsidP="00536BCB">
            <w:pPr>
              <w:jc w:val="both"/>
              <w:rPr>
                <w:sz w:val="24"/>
                <w:szCs w:val="24"/>
              </w:rPr>
            </w:pPr>
            <w:r w:rsidRPr="0053433D">
              <w:rPr>
                <w:sz w:val="24"/>
                <w:szCs w:val="24"/>
              </w:rPr>
              <w:t>68/88</w:t>
            </w:r>
            <w:r>
              <w:rPr>
                <w:sz w:val="24"/>
                <w:szCs w:val="24"/>
              </w:rPr>
              <w:t xml:space="preserve"> </w:t>
            </w:r>
            <w:r w:rsidRPr="0053433D">
              <w:rPr>
                <w:sz w:val="24"/>
                <w:szCs w:val="24"/>
              </w:rPr>
              <w:t>(77.3%)</w:t>
            </w:r>
          </w:p>
        </w:tc>
      </w:tr>
    </w:tbl>
    <w:p w:rsidR="00BE5ADC" w:rsidRPr="0053433D" w:rsidRDefault="00BE5ADC" w:rsidP="00BE5ADC">
      <w:pPr>
        <w:spacing w:after="0"/>
        <w:contextualSpacing/>
        <w:jc w:val="both"/>
        <w:rPr>
          <w:sz w:val="24"/>
          <w:szCs w:val="24"/>
        </w:rPr>
      </w:pPr>
      <w:r w:rsidRPr="0053433D">
        <w:rPr>
          <w:rFonts w:ascii="Calibri" w:hAnsi="Calibri" w:cs="Calibri"/>
          <w:sz w:val="24"/>
          <w:szCs w:val="24"/>
        </w:rPr>
        <w:t>﻿</w:t>
      </w:r>
      <w:r w:rsidRPr="0053433D">
        <w:rPr>
          <w:sz w:val="24"/>
          <w:szCs w:val="24"/>
        </w:rPr>
        <w:t>Missing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Failure.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*Upper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limit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normal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ALT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using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AASLD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normal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range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U/L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women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U/L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men</w:t>
      </w:r>
      <w:r>
        <w:rPr>
          <w:sz w:val="24"/>
          <w:szCs w:val="24"/>
        </w:rPr>
        <w:t xml:space="preserve">; </w:t>
      </w:r>
      <w:r w:rsidRPr="0053433D">
        <w:rPr>
          <w:b/>
          <w:bCs/>
          <w:sz w:val="24"/>
          <w:szCs w:val="24"/>
          <w:vertAlign w:val="superscript"/>
        </w:rPr>
        <w:t>†</w:t>
      </w:r>
      <w:r w:rsidRPr="0053433D">
        <w:rPr>
          <w:sz w:val="24"/>
          <w:szCs w:val="24"/>
          <w:lang w:eastAsia="zh-CN"/>
        </w:rPr>
        <w:t>Upp</w:t>
      </w:r>
      <w:r w:rsidRPr="0053433D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limit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normal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ALT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using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AASLD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normal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range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U/L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women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U/L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men.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AASLD,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American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Study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Liver</w:t>
      </w:r>
      <w:r>
        <w:rPr>
          <w:sz w:val="24"/>
          <w:szCs w:val="24"/>
        </w:rPr>
        <w:t xml:space="preserve"> </w:t>
      </w:r>
      <w:r w:rsidRPr="00BF37E2">
        <w:rPr>
          <w:sz w:val="24"/>
          <w:szCs w:val="24"/>
        </w:rPr>
        <w:t>Diseases;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TAF,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tenofovir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alafenamide;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TDF,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tenofovir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disoproxil</w:t>
      </w:r>
      <w:r>
        <w:rPr>
          <w:sz w:val="24"/>
          <w:szCs w:val="24"/>
        </w:rPr>
        <w:t xml:space="preserve"> </w:t>
      </w:r>
      <w:r w:rsidRPr="0053433D">
        <w:rPr>
          <w:sz w:val="24"/>
          <w:szCs w:val="24"/>
        </w:rPr>
        <w:t>fumarate.</w:t>
      </w:r>
    </w:p>
    <w:p w:rsidR="007C7A2A" w:rsidRDefault="007C7A2A"/>
    <w:sectPr w:rsidR="007C7A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BE5ADC"/>
    <w:rsid w:val="007C7A2A"/>
    <w:rsid w:val="00BE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ADC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2024-03-31T12:56:00Z</dcterms:created>
  <dcterms:modified xsi:type="dcterms:W3CDTF">2024-03-31T12:56:00Z</dcterms:modified>
</cp:coreProperties>
</file>