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figure</w:t>
      </w: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267325" cy="3105150"/>
            <wp:effectExtent l="19050" t="0" r="9525" b="0"/>
            <wp:docPr id="1" name="图片 3" descr="新CHB生存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新CHB生存曲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sz w:val="24"/>
        </w:rPr>
      </w:pPr>
      <w:bookmarkStart w:id="0" w:name="OLE_LINK26"/>
      <w:bookmarkStart w:id="1" w:name="OLE_LINK32"/>
      <w:r>
        <w:rPr>
          <w:rFonts w:ascii="Times New Roman" w:hAnsi="Times New Roman" w:cs="Times New Roman"/>
          <w:b/>
          <w:bCs/>
          <w:sz w:val="24"/>
        </w:rPr>
        <w:t xml:space="preserve">Supplementary Figure 1. Kaplan-Meier survival curve for mortality of SFTS patients with hepatitis B and without hepatitis B after adjustment. </w:t>
      </w:r>
      <w:r>
        <w:rPr>
          <w:rFonts w:ascii="Times New Roman" w:hAnsi="Times New Roman" w:cs="Times New Roman"/>
          <w:sz w:val="24"/>
        </w:rPr>
        <w:t>Days after disease onset are on the abscissa, and survival is on the ordinate. Multivariate Cox regression was adjusted for sex and age. CI, confidence interval; HR, hazard ratio.</w:t>
      </w:r>
      <w:bookmarkEnd w:id="0"/>
      <w:bookmarkEnd w:id="1"/>
    </w:p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655DB9" w:rsidRDefault="00655DB9"/>
    <w:sectPr w:rsidR="00655DB9" w:rsidSect="00F56934">
      <w:pgSz w:w="16838" w:h="11906" w:orient="landscape"/>
      <w:pgMar w:top="1797" w:right="1440" w:bottom="1797" w:left="1440" w:header="851" w:footer="992" w:gutter="0"/>
      <w:lnNumType w:countBy="1" w:restart="continuous"/>
      <w:cols w:space="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A31BA"/>
    <w:rsid w:val="002F5B01"/>
    <w:rsid w:val="00655DB9"/>
    <w:rsid w:val="0085480E"/>
    <w:rsid w:val="00E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A31B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5480E"/>
  </w:style>
  <w:style w:type="paragraph" w:styleId="BalloonText">
    <w:name w:val="Balloon Text"/>
    <w:basedOn w:val="Normal"/>
    <w:link w:val="BalloonTextChar"/>
    <w:uiPriority w:val="99"/>
    <w:semiHidden/>
    <w:unhideWhenUsed/>
    <w:rsid w:val="0085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2022-01-09T23:37:00Z</dcterms:created>
  <dcterms:modified xsi:type="dcterms:W3CDTF">2022-01-10T03:58:00Z</dcterms:modified>
</cp:coreProperties>
</file>