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BA" w:rsidRDefault="00EA31BA" w:rsidP="00EA31BA">
      <w:pPr>
        <w:numPr>
          <w:ilvl w:val="255"/>
          <w:numId w:val="0"/>
        </w:numPr>
        <w:snapToGrid w:val="0"/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 Table 5. Characteristics of peak liver function indices in SFTS patients accompanied by chronic hepatitis B virus infection during hospitalization</w:t>
      </w:r>
    </w:p>
    <w:tbl>
      <w:tblPr>
        <w:tblStyle w:val="TableGrid"/>
        <w:tblW w:w="116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2015"/>
        <w:gridCol w:w="2665"/>
        <w:gridCol w:w="2825"/>
        <w:gridCol w:w="2700"/>
        <w:gridCol w:w="1482"/>
      </w:tblGrid>
      <w:tr w:rsidR="00EA31BA" w:rsidTr="00B10D2F">
        <w:trPr>
          <w:jc w:val="center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Variable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 (</w:t>
            </w:r>
            <w:r>
              <w:rPr>
                <w:b/>
                <w:bCs/>
                <w:i/>
                <w:iCs/>
                <w:sz w:val="24"/>
              </w:rPr>
              <w:t>n</w:t>
            </w:r>
            <w:r>
              <w:rPr>
                <w:b/>
                <w:bCs/>
                <w:sz w:val="24"/>
              </w:rPr>
              <w:t>=459)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With CHB (</w:t>
            </w:r>
            <w:r>
              <w:rPr>
                <w:b/>
                <w:bCs/>
                <w:i/>
                <w:iCs/>
                <w:sz w:val="24"/>
              </w:rPr>
              <w:t>n</w:t>
            </w:r>
            <w:r>
              <w:rPr>
                <w:b/>
                <w:bCs/>
                <w:sz w:val="24"/>
              </w:rPr>
              <w:t>=62)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Without CHB (</w:t>
            </w:r>
            <w:r>
              <w:rPr>
                <w:b/>
                <w:bCs/>
                <w:i/>
                <w:iCs/>
                <w:sz w:val="24"/>
              </w:rPr>
              <w:t>n</w:t>
            </w:r>
            <w:r>
              <w:rPr>
                <w:b/>
                <w:bCs/>
                <w:sz w:val="24"/>
              </w:rPr>
              <w:t>=397)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p-</w:t>
            </w:r>
            <w:r>
              <w:rPr>
                <w:b/>
                <w:bCs/>
                <w:sz w:val="24"/>
              </w:rPr>
              <w:t>value</w:t>
            </w:r>
            <w:r>
              <w:rPr>
                <w:b/>
                <w:bCs/>
                <w:sz w:val="24"/>
                <w:vertAlign w:val="superscript"/>
              </w:rPr>
              <w:t>a</w:t>
            </w:r>
          </w:p>
        </w:tc>
      </w:tr>
      <w:tr w:rsidR="00EA31BA" w:rsidTr="00B10D2F">
        <w:trPr>
          <w:jc w:val="center"/>
        </w:trPr>
        <w:tc>
          <w:tcPr>
            <w:tcW w:w="2015" w:type="dxa"/>
            <w:tcBorders>
              <w:top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TB, µmol/L</w:t>
            </w:r>
          </w:p>
        </w:tc>
        <w:tc>
          <w:tcPr>
            <w:tcW w:w="2665" w:type="dxa"/>
            <w:tcBorders>
              <w:top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16.70 (11.50-24.20)</w:t>
            </w:r>
          </w:p>
        </w:tc>
        <w:tc>
          <w:tcPr>
            <w:tcW w:w="2825" w:type="dxa"/>
            <w:tcBorders>
              <w:top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15.55 (10.65-21.73)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17.10 (11.55-24.65)</w:t>
            </w:r>
          </w:p>
        </w:tc>
        <w:tc>
          <w:tcPr>
            <w:tcW w:w="1482" w:type="dxa"/>
            <w:tcBorders>
              <w:top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0.354</w:t>
            </w: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275 (59.9)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39 (62.9)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236 (59.4)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0.123</w:t>
            </w: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1-2 ULN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135 (29.4)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21 (33.9)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114 (28.7)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&gt;2 ULN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49 (10.7)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 (3.2)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47 (11.8)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ALT, U/L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112.00 (71.00-181.00)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107.00 (71.00-175.25)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113.00 (71.00-185.50)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>0.824</w:t>
            </w: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21 (4.6)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 (4.8)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18 (4.5)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0.208</w:t>
            </w: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1-2 ULN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121 (26.4)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16 (25.8)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105 (26.4)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2-5 ULN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222 (48.4)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33 (53.2)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189 (47.6)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5-15 ULN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87 (19.0)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9 (14.5)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78 (19.6)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&gt;15 ULN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8 (1.7)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 (1.6)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7 (1.8)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AST, U/L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262.00 (139.00-518.00)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247.00 (135.00-462.00)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262.00 (141.50-524.50)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>0.633</w:t>
            </w: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lastRenderedPageBreak/>
              <w:t>Normal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5 (1.1)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5 (1.3)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&lt;0.001</w:t>
            </w: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1-2 ULN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25 (5.4)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 (4.8)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22 (5.5)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2-5 ULN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151 (32.9)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25 (40.3)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126 (31.7)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5-15 ULN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175 (38.1)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21 (33.9)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154 (38.8)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&gt;15 ULN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103 (22.4)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13 (21.0)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90 (22.7)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ALP, ULN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82.00 (65.00-128.00)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77.50 (60.75-100.50)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83.00 (65.00-132.50)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>0.152</w:t>
            </w: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372 (81.0)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54 (87.1)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318 (80.1)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0.468</w:t>
            </w: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1-2 ULN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34 (13.9)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6 (9.7)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58 (14.6)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&gt;2 ULN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23 (5.0)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 (3.2)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21 (5.3)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GGT, ULN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84.00 (46.00-191.00)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86.00 (45.75-137.75)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84.00 (45.50-208.00)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>0.143</w:t>
            </w: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126 (27.5)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17 (27.4)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109 (27.5)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0.306</w:t>
            </w: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1-2 ULN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128 (27.9)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22 (35.5)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106 (26.7)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&gt;2 ULN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205 (44.7)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23 (37.1)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182 (45.8)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ALB, g/L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29.40 (26.00-32.20)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29.40 (27.75-32.20)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29.40 (26.00-32.35)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0.659</w:t>
            </w: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&gt;35 g/L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40 (8.7)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6 (9.7)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34 (8.6)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0.818</w:t>
            </w:r>
          </w:p>
        </w:tc>
      </w:tr>
      <w:tr w:rsidR="00EA31BA" w:rsidTr="00B10D2F">
        <w:trPr>
          <w:jc w:val="center"/>
        </w:trPr>
        <w:tc>
          <w:tcPr>
            <w:tcW w:w="201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lastRenderedPageBreak/>
              <w:t>&gt;30 g/L, ≤35 g/L</w:t>
            </w:r>
          </w:p>
        </w:tc>
        <w:tc>
          <w:tcPr>
            <w:tcW w:w="266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158 (34.4)</w:t>
            </w:r>
          </w:p>
        </w:tc>
        <w:tc>
          <w:tcPr>
            <w:tcW w:w="282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19 (30.6)</w:t>
            </w:r>
          </w:p>
        </w:tc>
        <w:tc>
          <w:tcPr>
            <w:tcW w:w="270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139 (35.0)</w:t>
            </w:r>
          </w:p>
        </w:tc>
        <w:tc>
          <w:tcPr>
            <w:tcW w:w="148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≤30 g/L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261 (56.9)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37 (59.7)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224 (56.4)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</w:tbl>
    <w:p w:rsidR="00EA31BA" w:rsidRDefault="00EA31BA" w:rsidP="00EA31BA">
      <w:pPr>
        <w:numPr>
          <w:ilvl w:val="255"/>
          <w:numId w:val="0"/>
        </w:numPr>
        <w:snapToGrid w:val="0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i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&lt;0.05 is significant. Data are </w:t>
      </w:r>
      <w:r>
        <w:rPr>
          <w:rFonts w:ascii="Times New Roman" w:hAnsi="Times New Roman" w:cs="Times New Roman"/>
          <w:i/>
          <w:iCs/>
          <w:sz w:val="24"/>
        </w:rPr>
        <w:t>n</w:t>
      </w:r>
      <w:r>
        <w:rPr>
          <w:rFonts w:ascii="Times New Roman" w:hAnsi="Times New Roman" w:cs="Times New Roman"/>
          <w:sz w:val="24"/>
        </w:rPr>
        <w:t>, (%) or medians (interquartile range) as indicated. ALB, albumin; ALP, alkaline phosphatase; ALT, alanine aminotransferase; AST, aspartate aminotransferase; CHB, chronic hepatitis B; GGT, γ-glutamyl transpeptidase; TB, total bilirubin.</w:t>
      </w:r>
    </w:p>
    <w:p w:rsidR="00EA31BA" w:rsidRDefault="00EA31BA" w:rsidP="00EA31BA">
      <w:pPr>
        <w:snapToGrid w:val="0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ectPr w:rsidR="00EA31BA" w:rsidSect="00F56934">
      <w:pgSz w:w="16838" w:h="11906" w:orient="landscape"/>
      <w:pgMar w:top="1797" w:right="1440" w:bottom="1797" w:left="1440" w:header="851" w:footer="992" w:gutter="0"/>
      <w:lnNumType w:countBy="1" w:restart="continuous"/>
      <w:cols w:space="0"/>
      <w:docGrid w:type="linesAndChar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EA31BA"/>
    <w:rsid w:val="00655DB9"/>
    <w:rsid w:val="007458E1"/>
    <w:rsid w:val="007B1670"/>
    <w:rsid w:val="008F54E9"/>
    <w:rsid w:val="00EA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EA31BA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458E1"/>
  </w:style>
  <w:style w:type="paragraph" w:styleId="BalloonText">
    <w:name w:val="Balloon Text"/>
    <w:basedOn w:val="Normal"/>
    <w:link w:val="BalloonTextChar"/>
    <w:uiPriority w:val="99"/>
    <w:semiHidden/>
    <w:unhideWhenUsed/>
    <w:rsid w:val="008F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2022-01-09T23:37:00Z</dcterms:created>
  <dcterms:modified xsi:type="dcterms:W3CDTF">2022-01-10T03:57:00Z</dcterms:modified>
</cp:coreProperties>
</file>