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2A314" w14:textId="77777777" w:rsidR="00320020" w:rsidRPr="00E36AEC" w:rsidRDefault="00320020" w:rsidP="00320020">
      <w:pPr>
        <w:spacing w:line="480" w:lineRule="auto"/>
        <w:jc w:val="both"/>
        <w:rPr>
          <w:rFonts w:ascii="Times New Roman" w:eastAsia="Palatino Linotype" w:hAnsi="Times New Roman" w:cs="Times New Roman"/>
          <w:b/>
          <w:color w:val="000000" w:themeColor="text1"/>
        </w:rPr>
      </w:pPr>
      <w:r w:rsidRPr="00E36AEC">
        <w:rPr>
          <w:rFonts w:ascii="Times New Roman" w:eastAsia="Palatino Linotype" w:hAnsi="Times New Roman" w:cs="Times New Roman"/>
          <w:b/>
          <w:bCs/>
          <w:color w:val="000000" w:themeColor="text1"/>
          <w:lang w:eastAsia="zh-CN"/>
        </w:rPr>
        <w:t xml:space="preserve">Supplementary </w:t>
      </w:r>
      <w:r w:rsidRPr="00E36AEC">
        <w:rPr>
          <w:rFonts w:ascii="Times New Roman" w:eastAsia="Palatino Linotype" w:hAnsi="Times New Roman" w:cs="Times New Roman"/>
          <w:b/>
          <w:color w:val="000000" w:themeColor="text1"/>
        </w:rPr>
        <w:t>Table 3. Cytokine secretion (index of stimulation, FC)</w:t>
      </w:r>
      <w:r w:rsidRPr="00E36AEC">
        <w:rPr>
          <w:rFonts w:ascii="Times New Roman" w:eastAsia="Palatino Linotype" w:hAnsi="Times New Roman" w:cs="Times New Roman"/>
          <w:color w:val="000000" w:themeColor="text1"/>
        </w:rPr>
        <w:t xml:space="preserve"> </w:t>
      </w:r>
      <w:r w:rsidRPr="00E36AEC">
        <w:rPr>
          <w:rFonts w:ascii="Times New Roman" w:eastAsia="Palatino Linotype" w:hAnsi="Times New Roman" w:cs="Times New Roman"/>
          <w:b/>
          <w:color w:val="000000" w:themeColor="text1"/>
        </w:rPr>
        <w:t>in human CD14</w:t>
      </w:r>
      <w:r w:rsidRPr="00E36AEC">
        <w:rPr>
          <w:rFonts w:ascii="Times New Roman" w:eastAsia="Palatino Linotype" w:hAnsi="Times New Roman" w:cs="Times New Roman"/>
          <w:b/>
          <w:color w:val="000000" w:themeColor="text1"/>
          <w:vertAlign w:val="superscript"/>
        </w:rPr>
        <w:t>+</w:t>
      </w:r>
      <w:r w:rsidRPr="00E36AEC">
        <w:rPr>
          <w:rFonts w:ascii="Times New Roman" w:eastAsia="Palatino Linotype" w:hAnsi="Times New Roman" w:cs="Times New Roman"/>
          <w:b/>
          <w:color w:val="000000" w:themeColor="text1"/>
        </w:rPr>
        <w:t xml:space="preserve"> cells in groups studied</w:t>
      </w:r>
    </w:p>
    <w:tbl>
      <w:tblPr>
        <w:tblW w:w="10060" w:type="dxa"/>
        <w:tblLayout w:type="fixed"/>
        <w:tblLook w:val="0600" w:firstRow="0" w:lastRow="0" w:firstColumn="0" w:lastColumn="0" w:noHBand="1" w:noVBand="1"/>
      </w:tblPr>
      <w:tblGrid>
        <w:gridCol w:w="1260"/>
        <w:gridCol w:w="1655"/>
        <w:gridCol w:w="1655"/>
        <w:gridCol w:w="1655"/>
        <w:gridCol w:w="1000"/>
        <w:gridCol w:w="992"/>
        <w:gridCol w:w="992"/>
        <w:gridCol w:w="851"/>
      </w:tblGrid>
      <w:tr w:rsidR="00320020" w:rsidRPr="00E36AEC" w14:paraId="0C8325A3" w14:textId="77777777" w:rsidTr="00166500">
        <w:trPr>
          <w:trHeight w:val="318"/>
        </w:trPr>
        <w:tc>
          <w:tcPr>
            <w:tcW w:w="1260" w:type="dxa"/>
            <w:vMerge w:val="restart"/>
          </w:tcPr>
          <w:p w14:paraId="3A0726E2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Cytokine</w:t>
            </w:r>
          </w:p>
        </w:tc>
        <w:tc>
          <w:tcPr>
            <w:tcW w:w="1655" w:type="dxa"/>
          </w:tcPr>
          <w:p w14:paraId="3F6B862A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b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>Control (1)</w:t>
            </w:r>
          </w:p>
        </w:tc>
        <w:tc>
          <w:tcPr>
            <w:tcW w:w="1655" w:type="dxa"/>
          </w:tcPr>
          <w:p w14:paraId="1B06DFD6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b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>Obesity (2)</w:t>
            </w:r>
          </w:p>
        </w:tc>
        <w:tc>
          <w:tcPr>
            <w:tcW w:w="1655" w:type="dxa"/>
          </w:tcPr>
          <w:p w14:paraId="71C5E1C4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b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>MetS (3)</w:t>
            </w:r>
          </w:p>
        </w:tc>
        <w:tc>
          <w:tcPr>
            <w:tcW w:w="3835" w:type="dxa"/>
            <w:gridSpan w:val="4"/>
          </w:tcPr>
          <w:p w14:paraId="4F7311EA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i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i/>
                <w:color w:val="000000" w:themeColor="text1"/>
                <w:lang w:eastAsia="zh-CN"/>
              </w:rPr>
              <w:t>P-</w:t>
            </w:r>
            <w:r w:rsidRPr="00E36AEC">
              <w:rPr>
                <w:rFonts w:ascii="Times New Roman" w:eastAsia="Palatino Linotype" w:hAnsi="Times New Roman" w:cs="Times New Roman"/>
                <w:i/>
                <w:color w:val="000000" w:themeColor="text1"/>
              </w:rPr>
              <w:t>value</w:t>
            </w:r>
          </w:p>
        </w:tc>
      </w:tr>
      <w:tr w:rsidR="00320020" w:rsidRPr="00E36AEC" w14:paraId="75D1630E" w14:textId="77777777" w:rsidTr="00166500">
        <w:trPr>
          <w:trHeight w:val="484"/>
        </w:trPr>
        <w:tc>
          <w:tcPr>
            <w:tcW w:w="1260" w:type="dxa"/>
            <w:vMerge/>
          </w:tcPr>
          <w:p w14:paraId="1E4799B6" w14:textId="77777777" w:rsidR="00320020" w:rsidRPr="00E36AEC" w:rsidRDefault="00320020" w:rsidP="00166500">
            <w:pPr>
              <w:spacing w:line="480" w:lineRule="auto"/>
              <w:jc w:val="both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4965" w:type="dxa"/>
            <w:gridSpan w:val="3"/>
          </w:tcPr>
          <w:p w14:paraId="3BE09723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>Median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 xml:space="preserve"> (Q1; Q3)</w:t>
            </w:r>
          </w:p>
        </w:tc>
        <w:tc>
          <w:tcPr>
            <w:tcW w:w="1000" w:type="dxa"/>
          </w:tcPr>
          <w:p w14:paraId="3212E026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1 vs 2</w:t>
            </w:r>
          </w:p>
        </w:tc>
        <w:tc>
          <w:tcPr>
            <w:tcW w:w="992" w:type="dxa"/>
          </w:tcPr>
          <w:p w14:paraId="192DE1C2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1 vs 3</w:t>
            </w:r>
          </w:p>
        </w:tc>
        <w:tc>
          <w:tcPr>
            <w:tcW w:w="992" w:type="dxa"/>
          </w:tcPr>
          <w:p w14:paraId="103A7BB0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2 vs 3</w:t>
            </w:r>
          </w:p>
        </w:tc>
        <w:tc>
          <w:tcPr>
            <w:tcW w:w="851" w:type="dxa"/>
          </w:tcPr>
          <w:p w14:paraId="2EA7C8DC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Test</w:t>
            </w:r>
          </w:p>
        </w:tc>
      </w:tr>
      <w:tr w:rsidR="00320020" w:rsidRPr="00E36AEC" w14:paraId="6350F9EB" w14:textId="77777777" w:rsidTr="00166500">
        <w:trPr>
          <w:trHeight w:val="756"/>
        </w:trPr>
        <w:tc>
          <w:tcPr>
            <w:tcW w:w="1260" w:type="dxa"/>
          </w:tcPr>
          <w:p w14:paraId="7CD206B2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IL-6 FC</w:t>
            </w:r>
          </w:p>
        </w:tc>
        <w:tc>
          <w:tcPr>
            <w:tcW w:w="1655" w:type="dxa"/>
          </w:tcPr>
          <w:p w14:paraId="2057C930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>5.36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 xml:space="preserve"> (3.09; 7.06)</w:t>
            </w:r>
          </w:p>
        </w:tc>
        <w:tc>
          <w:tcPr>
            <w:tcW w:w="1655" w:type="dxa"/>
          </w:tcPr>
          <w:p w14:paraId="62CDE6EA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>8.37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 xml:space="preserve"> (4.80; 9.85)</w:t>
            </w:r>
          </w:p>
        </w:tc>
        <w:tc>
          <w:tcPr>
            <w:tcW w:w="1655" w:type="dxa"/>
          </w:tcPr>
          <w:p w14:paraId="10208CDB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>7.83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 xml:space="preserve"> (5.86; 9.80)</w:t>
            </w:r>
          </w:p>
        </w:tc>
        <w:tc>
          <w:tcPr>
            <w:tcW w:w="1000" w:type="dxa"/>
          </w:tcPr>
          <w:p w14:paraId="4BC86BF9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0.0063</w:t>
            </w:r>
          </w:p>
        </w:tc>
        <w:tc>
          <w:tcPr>
            <w:tcW w:w="992" w:type="dxa"/>
          </w:tcPr>
          <w:p w14:paraId="62E3150F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0.0003</w:t>
            </w:r>
          </w:p>
        </w:tc>
        <w:tc>
          <w:tcPr>
            <w:tcW w:w="992" w:type="dxa"/>
          </w:tcPr>
          <w:p w14:paraId="3CABC5FA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0.9187</w:t>
            </w:r>
          </w:p>
        </w:tc>
        <w:tc>
          <w:tcPr>
            <w:tcW w:w="851" w:type="dxa"/>
          </w:tcPr>
          <w:p w14:paraId="24D6E662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a</w:t>
            </w:r>
          </w:p>
        </w:tc>
      </w:tr>
      <w:tr w:rsidR="00320020" w:rsidRPr="00E36AEC" w14:paraId="61F42B8A" w14:textId="77777777" w:rsidTr="00166500">
        <w:trPr>
          <w:trHeight w:val="756"/>
        </w:trPr>
        <w:tc>
          <w:tcPr>
            <w:tcW w:w="1260" w:type="dxa"/>
          </w:tcPr>
          <w:p w14:paraId="34908EAE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MCP-1 FC</w:t>
            </w:r>
          </w:p>
        </w:tc>
        <w:tc>
          <w:tcPr>
            <w:tcW w:w="1655" w:type="dxa"/>
          </w:tcPr>
          <w:p w14:paraId="28BE68AD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>0.84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 xml:space="preserve"> (0.39; 1.84)</w:t>
            </w:r>
          </w:p>
        </w:tc>
        <w:tc>
          <w:tcPr>
            <w:tcW w:w="1655" w:type="dxa"/>
          </w:tcPr>
          <w:p w14:paraId="2BC288EB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>3.44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 xml:space="preserve"> (1.92; 5.59)</w:t>
            </w:r>
          </w:p>
        </w:tc>
        <w:tc>
          <w:tcPr>
            <w:tcW w:w="1655" w:type="dxa"/>
          </w:tcPr>
          <w:p w14:paraId="610B7191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>2.75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 xml:space="preserve"> (1.59; 4.91)</w:t>
            </w:r>
          </w:p>
        </w:tc>
        <w:tc>
          <w:tcPr>
            <w:tcW w:w="1000" w:type="dxa"/>
          </w:tcPr>
          <w:p w14:paraId="0F10AB7C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0.0003</w:t>
            </w:r>
          </w:p>
        </w:tc>
        <w:tc>
          <w:tcPr>
            <w:tcW w:w="992" w:type="dxa"/>
          </w:tcPr>
          <w:p w14:paraId="0D8F656E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0.0016</w:t>
            </w:r>
          </w:p>
        </w:tc>
        <w:tc>
          <w:tcPr>
            <w:tcW w:w="992" w:type="dxa"/>
          </w:tcPr>
          <w:p w14:paraId="5132D4F9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&gt;0.9999</w:t>
            </w:r>
          </w:p>
        </w:tc>
        <w:tc>
          <w:tcPr>
            <w:tcW w:w="851" w:type="dxa"/>
          </w:tcPr>
          <w:p w14:paraId="26212E26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b</w:t>
            </w:r>
          </w:p>
        </w:tc>
      </w:tr>
      <w:tr w:rsidR="00320020" w:rsidRPr="00E36AEC" w14:paraId="78171A2C" w14:textId="77777777" w:rsidTr="00166500">
        <w:trPr>
          <w:trHeight w:val="756"/>
        </w:trPr>
        <w:tc>
          <w:tcPr>
            <w:tcW w:w="1260" w:type="dxa"/>
          </w:tcPr>
          <w:p w14:paraId="6F372EC3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IL-1β FC</w:t>
            </w:r>
          </w:p>
        </w:tc>
        <w:tc>
          <w:tcPr>
            <w:tcW w:w="1655" w:type="dxa"/>
          </w:tcPr>
          <w:p w14:paraId="3309E2AE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>1.53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 xml:space="preserve"> (1.14; 2.70)</w:t>
            </w:r>
          </w:p>
        </w:tc>
        <w:tc>
          <w:tcPr>
            <w:tcW w:w="1655" w:type="dxa"/>
          </w:tcPr>
          <w:p w14:paraId="1D4A0029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>2.34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 xml:space="preserve"> (1.65; 3.75)</w:t>
            </w:r>
          </w:p>
        </w:tc>
        <w:tc>
          <w:tcPr>
            <w:tcW w:w="1655" w:type="dxa"/>
          </w:tcPr>
          <w:p w14:paraId="3AF4DB4B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>2.56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 xml:space="preserve"> (1.73; 3.67)</w:t>
            </w:r>
          </w:p>
        </w:tc>
        <w:tc>
          <w:tcPr>
            <w:tcW w:w="1000" w:type="dxa"/>
          </w:tcPr>
          <w:p w14:paraId="5E8DA123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0.0488</w:t>
            </w:r>
          </w:p>
        </w:tc>
        <w:tc>
          <w:tcPr>
            <w:tcW w:w="992" w:type="dxa"/>
          </w:tcPr>
          <w:p w14:paraId="7A6BB432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0.0096</w:t>
            </w:r>
          </w:p>
        </w:tc>
        <w:tc>
          <w:tcPr>
            <w:tcW w:w="992" w:type="dxa"/>
          </w:tcPr>
          <w:p w14:paraId="10ECE55E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0.9603</w:t>
            </w:r>
          </w:p>
        </w:tc>
        <w:tc>
          <w:tcPr>
            <w:tcW w:w="851" w:type="dxa"/>
          </w:tcPr>
          <w:p w14:paraId="6B27FCB8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a</w:t>
            </w:r>
          </w:p>
        </w:tc>
      </w:tr>
      <w:tr w:rsidR="00320020" w:rsidRPr="00E36AEC" w14:paraId="3DF70286" w14:textId="77777777" w:rsidTr="00166500">
        <w:trPr>
          <w:trHeight w:val="756"/>
        </w:trPr>
        <w:tc>
          <w:tcPr>
            <w:tcW w:w="1260" w:type="dxa"/>
          </w:tcPr>
          <w:p w14:paraId="29540997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TNF</w:t>
            </w:r>
            <w:r>
              <w:rPr>
                <w:rFonts w:ascii="Times New Roman" w:eastAsia="Palatino Linotype" w:hAnsi="Times New Roman" w:cs="Times New Roman" w:hint="eastAsia"/>
                <w:color w:val="000000" w:themeColor="text1"/>
                <w:lang w:eastAsia="zh-CN"/>
              </w:rPr>
              <w:t>-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α FC</w:t>
            </w:r>
          </w:p>
        </w:tc>
        <w:tc>
          <w:tcPr>
            <w:tcW w:w="1655" w:type="dxa"/>
          </w:tcPr>
          <w:p w14:paraId="1800A639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 xml:space="preserve">4.02 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(2.66; 5.52)</w:t>
            </w:r>
          </w:p>
        </w:tc>
        <w:tc>
          <w:tcPr>
            <w:tcW w:w="1655" w:type="dxa"/>
          </w:tcPr>
          <w:p w14:paraId="6BF58D4E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>4.39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 xml:space="preserve"> (3.29; 5.81)</w:t>
            </w:r>
          </w:p>
        </w:tc>
        <w:tc>
          <w:tcPr>
            <w:tcW w:w="1655" w:type="dxa"/>
          </w:tcPr>
          <w:p w14:paraId="463AD6CE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>5.37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 xml:space="preserve"> (4.44; 5.90)</w:t>
            </w:r>
          </w:p>
        </w:tc>
        <w:tc>
          <w:tcPr>
            <w:tcW w:w="1000" w:type="dxa"/>
          </w:tcPr>
          <w:p w14:paraId="5A4F8536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0.0793</w:t>
            </w:r>
          </w:p>
        </w:tc>
        <w:tc>
          <w:tcPr>
            <w:tcW w:w="992" w:type="dxa"/>
          </w:tcPr>
          <w:p w14:paraId="37B6436E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0.0123</w:t>
            </w:r>
          </w:p>
        </w:tc>
        <w:tc>
          <w:tcPr>
            <w:tcW w:w="992" w:type="dxa"/>
          </w:tcPr>
          <w:p w14:paraId="6645B27E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&gt;0.9999</w:t>
            </w:r>
          </w:p>
        </w:tc>
        <w:tc>
          <w:tcPr>
            <w:tcW w:w="851" w:type="dxa"/>
          </w:tcPr>
          <w:p w14:paraId="1ADD7C51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b</w:t>
            </w:r>
          </w:p>
        </w:tc>
      </w:tr>
      <w:tr w:rsidR="00320020" w:rsidRPr="00E36AEC" w14:paraId="7EE45817" w14:textId="77777777" w:rsidTr="00166500">
        <w:trPr>
          <w:trHeight w:val="735"/>
        </w:trPr>
        <w:tc>
          <w:tcPr>
            <w:tcW w:w="1260" w:type="dxa"/>
          </w:tcPr>
          <w:p w14:paraId="48289304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IL-10 FC</w:t>
            </w:r>
          </w:p>
        </w:tc>
        <w:tc>
          <w:tcPr>
            <w:tcW w:w="1655" w:type="dxa"/>
          </w:tcPr>
          <w:p w14:paraId="579CCD1B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>3.52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 xml:space="preserve"> (2.26; 5.05)</w:t>
            </w:r>
          </w:p>
        </w:tc>
        <w:tc>
          <w:tcPr>
            <w:tcW w:w="1655" w:type="dxa"/>
          </w:tcPr>
          <w:p w14:paraId="357557AE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>4.69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 xml:space="preserve"> (3.98; 6.17)</w:t>
            </w:r>
          </w:p>
        </w:tc>
        <w:tc>
          <w:tcPr>
            <w:tcW w:w="1655" w:type="dxa"/>
          </w:tcPr>
          <w:p w14:paraId="71B18400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>5.68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 xml:space="preserve"> (4.50; 6.51)</w:t>
            </w:r>
          </w:p>
        </w:tc>
        <w:tc>
          <w:tcPr>
            <w:tcW w:w="1000" w:type="dxa"/>
          </w:tcPr>
          <w:p w14:paraId="4221F361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0.0230</w:t>
            </w:r>
          </w:p>
        </w:tc>
        <w:tc>
          <w:tcPr>
            <w:tcW w:w="992" w:type="dxa"/>
          </w:tcPr>
          <w:p w14:paraId="2B82A1FD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&lt;0.0001</w:t>
            </w:r>
          </w:p>
        </w:tc>
        <w:tc>
          <w:tcPr>
            <w:tcW w:w="992" w:type="dxa"/>
          </w:tcPr>
          <w:p w14:paraId="4D8D20E7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0.4072</w:t>
            </w:r>
          </w:p>
        </w:tc>
        <w:tc>
          <w:tcPr>
            <w:tcW w:w="851" w:type="dxa"/>
          </w:tcPr>
          <w:p w14:paraId="3A342E63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a</w:t>
            </w:r>
          </w:p>
        </w:tc>
      </w:tr>
      <w:tr w:rsidR="00320020" w:rsidRPr="00E36AEC" w14:paraId="0801B38F" w14:textId="77777777" w:rsidTr="00166500">
        <w:trPr>
          <w:trHeight w:val="756"/>
        </w:trPr>
        <w:tc>
          <w:tcPr>
            <w:tcW w:w="1260" w:type="dxa"/>
          </w:tcPr>
          <w:p w14:paraId="1914592D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IL-8 FC</w:t>
            </w:r>
          </w:p>
        </w:tc>
        <w:tc>
          <w:tcPr>
            <w:tcW w:w="1655" w:type="dxa"/>
          </w:tcPr>
          <w:p w14:paraId="3CADDFB3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 xml:space="preserve">1.55 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(0.54; 2.72)</w:t>
            </w:r>
          </w:p>
        </w:tc>
        <w:tc>
          <w:tcPr>
            <w:tcW w:w="1655" w:type="dxa"/>
          </w:tcPr>
          <w:p w14:paraId="756BB363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>3.32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 xml:space="preserve"> (2.41; 4.23)</w:t>
            </w:r>
          </w:p>
        </w:tc>
        <w:tc>
          <w:tcPr>
            <w:tcW w:w="1655" w:type="dxa"/>
          </w:tcPr>
          <w:p w14:paraId="3FCDC33E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>2.86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 xml:space="preserve"> (2.02; 4.27)</w:t>
            </w:r>
          </w:p>
        </w:tc>
        <w:tc>
          <w:tcPr>
            <w:tcW w:w="1000" w:type="dxa"/>
          </w:tcPr>
          <w:p w14:paraId="53C7F91D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0.0009</w:t>
            </w:r>
          </w:p>
        </w:tc>
        <w:tc>
          <w:tcPr>
            <w:tcW w:w="992" w:type="dxa"/>
          </w:tcPr>
          <w:p w14:paraId="39ACB456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0.0038</w:t>
            </w:r>
          </w:p>
        </w:tc>
        <w:tc>
          <w:tcPr>
            <w:tcW w:w="992" w:type="dxa"/>
          </w:tcPr>
          <w:p w14:paraId="318F292D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&gt;0.9999</w:t>
            </w:r>
          </w:p>
        </w:tc>
        <w:tc>
          <w:tcPr>
            <w:tcW w:w="851" w:type="dxa"/>
          </w:tcPr>
          <w:p w14:paraId="5C2B6655" w14:textId="77777777" w:rsidR="00320020" w:rsidRPr="00E36AEC" w:rsidRDefault="00320020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b</w:t>
            </w:r>
          </w:p>
        </w:tc>
      </w:tr>
    </w:tbl>
    <w:p w14:paraId="44521EE9" w14:textId="77777777" w:rsidR="00320020" w:rsidRPr="005E67C7" w:rsidRDefault="00320020" w:rsidP="00320020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E36AEC">
        <w:rPr>
          <w:rFonts w:ascii="Times New Roman" w:eastAsia="Palatino Linotype" w:hAnsi="Times New Roman" w:cs="Times New Roman"/>
          <w:color w:val="000000" w:themeColor="text1"/>
          <w:vertAlign w:val="superscript"/>
        </w:rPr>
        <w:t>a</w:t>
      </w:r>
      <w:r w:rsidRPr="00E36AEC">
        <w:rPr>
          <w:rFonts w:ascii="Times New Roman" w:hAnsi="Times New Roman"/>
          <w:color w:val="000000" w:themeColor="text1"/>
        </w:rPr>
        <w:t>One</w:t>
      </w:r>
      <w:r w:rsidRPr="00E36AEC">
        <w:rPr>
          <w:rFonts w:ascii="Times New Roman" w:eastAsia="Palatino Linotype" w:hAnsi="Times New Roman" w:cs="Times New Roman"/>
          <w:color w:val="000000" w:themeColor="text1"/>
        </w:rPr>
        <w:t>-way</w:t>
      </w:r>
      <w:r w:rsidRPr="00E36AEC">
        <w:rPr>
          <w:rFonts w:ascii="Times New Roman" w:hAnsi="Times New Roman"/>
          <w:color w:val="000000" w:themeColor="text1"/>
        </w:rPr>
        <w:t xml:space="preserve"> </w:t>
      </w:r>
      <w:r w:rsidRPr="005E67C7">
        <w:rPr>
          <w:rFonts w:ascii="Times New Roman" w:hAnsi="Times New Roman"/>
          <w:color w:val="000000" w:themeColor="text1"/>
        </w:rPr>
        <w:t>analysis of variance</w:t>
      </w:r>
      <w:r w:rsidRPr="00E36AEC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 w:hint="eastAsia"/>
          <w:color w:val="000000" w:themeColor="text1"/>
          <w:lang w:eastAsia="zh-CN"/>
        </w:rPr>
        <w:t>(</w:t>
      </w:r>
      <w:r w:rsidRPr="00E36AEC">
        <w:rPr>
          <w:rFonts w:ascii="Times New Roman" w:hAnsi="Times New Roman"/>
          <w:color w:val="000000" w:themeColor="text1"/>
        </w:rPr>
        <w:t>ANOVA</w:t>
      </w:r>
      <w:r>
        <w:rPr>
          <w:rFonts w:ascii="Times New Roman" w:hAnsi="Times New Roman" w:hint="eastAsia"/>
          <w:color w:val="000000" w:themeColor="text1"/>
          <w:lang w:eastAsia="zh-CN"/>
        </w:rPr>
        <w:t>)</w:t>
      </w:r>
      <w:r w:rsidRPr="00E36AEC">
        <w:rPr>
          <w:rFonts w:ascii="Times New Roman" w:hAnsi="Times New Roman"/>
          <w:color w:val="000000" w:themeColor="text1"/>
        </w:rPr>
        <w:t xml:space="preserve"> with Tukey comparison test, </w:t>
      </w:r>
      <w:r w:rsidRPr="00E36AEC">
        <w:rPr>
          <w:rFonts w:ascii="Times New Roman" w:eastAsia="Palatino Linotype" w:hAnsi="Times New Roman" w:cs="Times New Roman"/>
          <w:color w:val="000000" w:themeColor="text1"/>
          <w:vertAlign w:val="superscript"/>
        </w:rPr>
        <w:t>b</w:t>
      </w:r>
      <w:r w:rsidRPr="00E36AEC">
        <w:rPr>
          <w:rFonts w:ascii="Times New Roman" w:eastAsia="Palatino Linotype" w:hAnsi="Times New Roman" w:cs="Times New Roman"/>
          <w:color w:val="000000" w:themeColor="text1"/>
        </w:rPr>
        <w:t>Kruskal–</w:t>
      </w:r>
      <w:r w:rsidRPr="00E36AEC">
        <w:rPr>
          <w:rFonts w:ascii="Times New Roman" w:hAnsi="Times New Roman"/>
          <w:color w:val="000000" w:themeColor="text1"/>
        </w:rPr>
        <w:t xml:space="preserve">Wallis with </w:t>
      </w:r>
      <w:r w:rsidRPr="00E36AEC">
        <w:rPr>
          <w:rFonts w:ascii="Times New Roman" w:eastAsia="Palatino Linotype" w:hAnsi="Times New Roman" w:cs="Times New Roman"/>
          <w:color w:val="000000" w:themeColor="text1"/>
        </w:rPr>
        <w:t>Dunn’s</w:t>
      </w:r>
      <w:r w:rsidRPr="00E36AEC">
        <w:rPr>
          <w:rFonts w:ascii="Times New Roman" w:hAnsi="Times New Roman"/>
          <w:color w:val="000000" w:themeColor="text1"/>
        </w:rPr>
        <w:t xml:space="preserve"> multiple comparisons test. The data </w:t>
      </w:r>
      <w:r w:rsidRPr="00E36AEC">
        <w:rPr>
          <w:rFonts w:ascii="Times New Roman" w:eastAsia="Palatino Linotype" w:hAnsi="Times New Roman" w:cs="Times New Roman"/>
          <w:color w:val="000000" w:themeColor="text1"/>
        </w:rPr>
        <w:t>are</w:t>
      </w:r>
      <w:r w:rsidRPr="00E36AEC">
        <w:rPr>
          <w:rFonts w:ascii="Times New Roman" w:hAnsi="Times New Roman"/>
          <w:color w:val="000000" w:themeColor="text1"/>
        </w:rPr>
        <w:t xml:space="preserve"> log-transformed to base 2</w:t>
      </w:r>
      <w:r w:rsidRPr="00E36AEC">
        <w:rPr>
          <w:rFonts w:ascii="Times New Roman" w:eastAsia="Palatino Linotype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 xml:space="preserve"> </w:t>
      </w:r>
      <w:r w:rsidRPr="005E67C7">
        <w:rPr>
          <w:rFonts w:ascii="Times New Roman" w:hAnsi="Times New Roman" w:cs="Times New Roman"/>
          <w:color w:val="000000" w:themeColor="text1"/>
          <w:lang w:eastAsia="zh-CN"/>
        </w:rPr>
        <w:t>FC, fold change;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 xml:space="preserve"> IL, i</w:t>
      </w:r>
      <w:r w:rsidRPr="005E67C7">
        <w:rPr>
          <w:rFonts w:ascii="Times New Roman" w:hAnsi="Times New Roman" w:cs="Times New Roman"/>
          <w:color w:val="000000" w:themeColor="text1"/>
          <w:lang w:eastAsia="zh-CN"/>
        </w:rPr>
        <w:t>terleukin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 xml:space="preserve">; </w:t>
      </w:r>
      <w:r w:rsidRPr="00B0618C">
        <w:rPr>
          <w:rFonts w:ascii="Times New Roman" w:hAnsi="Times New Roman" w:cs="Times New Roman"/>
          <w:color w:val="000000" w:themeColor="text1"/>
          <w:lang w:eastAsia="zh-CN"/>
        </w:rPr>
        <w:t>MCP-1, monocyte chemoattractant protein-1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 xml:space="preserve">; </w:t>
      </w:r>
      <w:r w:rsidRPr="005E67C7">
        <w:rPr>
          <w:rFonts w:ascii="Times New Roman" w:hAnsi="Times New Roman" w:cs="Times New Roman"/>
          <w:color w:val="000000" w:themeColor="text1"/>
          <w:lang w:eastAsia="zh-CN"/>
        </w:rPr>
        <w:t>MetS, metabolic syndrome;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 xml:space="preserve"> </w:t>
      </w:r>
      <w:r w:rsidRPr="005E67C7">
        <w:rPr>
          <w:rFonts w:ascii="Times New Roman" w:hAnsi="Times New Roman" w:cs="Times New Roman"/>
          <w:color w:val="000000" w:themeColor="text1"/>
          <w:lang w:eastAsia="zh-CN"/>
        </w:rPr>
        <w:t>TNF-α, tumor necrosis factor-alpha.</w:t>
      </w:r>
    </w:p>
    <w:p w14:paraId="77C3236C" w14:textId="77777777" w:rsidR="0070635F" w:rsidRDefault="0070635F"/>
    <w:sectPr w:rsidR="007063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5F"/>
    <w:rsid w:val="00320020"/>
    <w:rsid w:val="0070635F"/>
    <w:rsid w:val="0096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58235-BDEC-4439-A8D4-68E0FBF5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3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3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3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3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3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2026-04-27T07:49:00Z</dcterms:created>
  <dcterms:modified xsi:type="dcterms:W3CDTF">2026-04-27T07:49:00Z</dcterms:modified>
</cp:coreProperties>
</file>