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E7" w:rsidRDefault="00893BE7" w:rsidP="00893BE7">
      <w:pPr>
        <w:snapToGrid w:val="0"/>
        <w:spacing w:line="480" w:lineRule="auto"/>
        <w:jc w:val="both"/>
      </w:pPr>
      <w:r>
        <w:rPr>
          <w:rFonts w:eastAsia="宋体"/>
          <w:b/>
          <w:bCs/>
          <w:lang/>
        </w:rPr>
        <w:t xml:space="preserve">Supplementary Table 4. Multivariate Cox regression of the prognosis of </w:t>
      </w:r>
      <w:r>
        <w:rPr>
          <w:rFonts w:eastAsia="宋体" w:hint="eastAsia"/>
          <w:b/>
          <w:bCs/>
          <w:lang/>
        </w:rPr>
        <w:t>ACLF</w:t>
      </w:r>
      <w:r>
        <w:rPr>
          <w:rFonts w:eastAsia="宋体"/>
          <w:b/>
          <w:bCs/>
          <w:lang/>
        </w:rPr>
        <w:t xml:space="preserve"> patients</w:t>
      </w:r>
    </w:p>
    <w:tbl>
      <w:tblPr>
        <w:tblStyle w:val="TableGrid"/>
        <w:tblW w:w="0" w:type="auto"/>
        <w:tblBorders>
          <w:top w:val="single" w:sz="12" w:space="0" w:color="auto"/>
          <w:left w:val="none" w:sz="4" w:space="0" w:color="auto"/>
          <w:bottom w:val="single" w:sz="12" w:space="0" w:color="auto"/>
          <w:right w:val="none" w:sz="4" w:space="0" w:color="auto"/>
          <w:insideV w:val="none" w:sz="4" w:space="0" w:color="auto"/>
        </w:tblBorders>
        <w:tblLook w:val="04A0"/>
      </w:tblPr>
      <w:tblGrid>
        <w:gridCol w:w="2150"/>
        <w:gridCol w:w="1816"/>
        <w:gridCol w:w="839"/>
      </w:tblGrid>
      <w:tr w:rsidR="00893BE7" w:rsidTr="0083464F"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lang/>
              </w:rPr>
              <w:t>Multivariate</w:t>
            </w:r>
          </w:p>
        </w:tc>
      </w:tr>
      <w:tr w:rsidR="00893BE7" w:rsidTr="0083464F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lang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/>
              </w:rPr>
              <w:t>p</w:t>
            </w:r>
            <w:r>
              <w:rPr>
                <w:b/>
                <w:bCs/>
                <w:lang/>
              </w:rPr>
              <w:t>-value</w:t>
            </w:r>
          </w:p>
        </w:tc>
      </w:tr>
      <w:tr w:rsidR="00893BE7" w:rsidTr="0083464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t>1.03 (1.01-1.04)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t>&lt;0.001</w:t>
            </w:r>
          </w:p>
        </w:tc>
      </w:tr>
      <w:tr w:rsidR="00893BE7" w:rsidTr="0083464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rFonts w:hint="eastAsia"/>
              </w:rPr>
              <w:t>Not significant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t>0.740</w:t>
            </w:r>
          </w:p>
        </w:tc>
      </w:tr>
      <w:tr w:rsidR="00893BE7" w:rsidTr="0083464F">
        <w:trPr>
          <w:trHeight w:val="121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Etiology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HBV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Alcohol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HBV+alcohol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Others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</w:p>
          <w:p w:rsidR="00893BE7" w:rsidRDefault="00893BE7" w:rsidP="0083464F">
            <w:pPr>
              <w:snapToGrid w:val="0"/>
              <w:spacing w:line="480" w:lineRule="auto"/>
            </w:pPr>
            <w:r>
              <w:t>Ref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t>0.66</w:t>
            </w:r>
            <w:r>
              <w:rPr>
                <w:rFonts w:hint="eastAsia"/>
              </w:rPr>
              <w:t xml:space="preserve"> (</w:t>
            </w:r>
            <w:r>
              <w:t>0.46-0.94)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t>1.12 (0.72-1.74)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t>0.83 (0.57-1.22)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</w:p>
          <w:p w:rsidR="00893BE7" w:rsidRDefault="00893BE7" w:rsidP="0083464F">
            <w:pPr>
              <w:snapToGrid w:val="0"/>
              <w:spacing w:line="480" w:lineRule="auto"/>
            </w:pPr>
          </w:p>
          <w:p w:rsidR="00893BE7" w:rsidRDefault="00893BE7" w:rsidP="0083464F">
            <w:pPr>
              <w:snapToGrid w:val="0"/>
              <w:spacing w:line="480" w:lineRule="auto"/>
            </w:pPr>
            <w:r>
              <w:t>0.023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t>0.612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t>0.337</w:t>
            </w:r>
          </w:p>
        </w:tc>
      </w:tr>
      <w:tr w:rsidR="00893BE7" w:rsidTr="0083464F">
        <w:trPr>
          <w:trHeight w:val="21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WGO type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A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B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</w:p>
          <w:p w:rsidR="00893BE7" w:rsidRDefault="00893BE7" w:rsidP="0083464F">
            <w:pPr>
              <w:snapToGrid w:val="0"/>
              <w:spacing w:line="480" w:lineRule="auto"/>
            </w:pPr>
          </w:p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rFonts w:hint="eastAsia"/>
              </w:rPr>
              <w:t>Not significant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rFonts w:hint="eastAsia"/>
              </w:rPr>
              <w:t>Not significant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</w:p>
          <w:p w:rsidR="00893BE7" w:rsidRDefault="00893BE7" w:rsidP="0083464F">
            <w:pPr>
              <w:snapToGrid w:val="0"/>
              <w:spacing w:line="480" w:lineRule="auto"/>
            </w:pPr>
          </w:p>
          <w:p w:rsidR="00893BE7" w:rsidRDefault="00893BE7" w:rsidP="0083464F">
            <w:pPr>
              <w:snapToGrid w:val="0"/>
              <w:spacing w:line="480" w:lineRule="auto"/>
            </w:pPr>
            <w:r>
              <w:t>0.060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t>0.428</w:t>
            </w:r>
          </w:p>
        </w:tc>
      </w:tr>
      <w:tr w:rsidR="00893BE7" w:rsidTr="0083464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Insult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Not identified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Hepatic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Extrahepatic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Both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</w:p>
          <w:p w:rsidR="00893BE7" w:rsidRDefault="00893BE7" w:rsidP="0083464F">
            <w:pPr>
              <w:snapToGrid w:val="0"/>
              <w:spacing w:line="480" w:lineRule="auto"/>
            </w:pPr>
          </w:p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rFonts w:hint="eastAsia"/>
              </w:rPr>
              <w:t>Not significant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rFonts w:hint="eastAsia"/>
              </w:rPr>
              <w:t>Not significant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rFonts w:hint="eastAsia"/>
              </w:rPr>
              <w:t>Not significant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</w:p>
          <w:p w:rsidR="00893BE7" w:rsidRDefault="00893BE7" w:rsidP="0083464F">
            <w:pPr>
              <w:snapToGrid w:val="0"/>
              <w:spacing w:line="480" w:lineRule="auto"/>
            </w:pPr>
          </w:p>
          <w:p w:rsidR="00893BE7" w:rsidRDefault="00893BE7" w:rsidP="0083464F">
            <w:pPr>
              <w:snapToGrid w:val="0"/>
              <w:spacing w:line="480" w:lineRule="auto"/>
            </w:pPr>
            <w:r>
              <w:t>0.305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t>0.761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t>0.800</w:t>
            </w:r>
          </w:p>
        </w:tc>
      </w:tr>
      <w:tr w:rsidR="00893BE7" w:rsidTr="0083464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Bacterial infection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rFonts w:hint="eastAsia"/>
              </w:rPr>
              <w:t>Not significant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t>0.769</w:t>
            </w:r>
          </w:p>
        </w:tc>
      </w:tr>
      <w:tr w:rsidR="00893BE7" w:rsidTr="0083464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Ascites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rFonts w:hint="eastAsia"/>
              </w:rPr>
              <w:t>Not significant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t>0.683</w:t>
            </w:r>
          </w:p>
        </w:tc>
      </w:tr>
      <w:tr w:rsidR="00893BE7" w:rsidTr="0083464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AVB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rFonts w:hint="eastAsia"/>
              </w:rPr>
              <w:t>Not significant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t>0.350</w:t>
            </w:r>
          </w:p>
        </w:tc>
      </w:tr>
      <w:tr w:rsidR="00893BE7" w:rsidTr="0083464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EHOF risk stratification</w:t>
            </w:r>
          </w:p>
          <w:p w:rsidR="00893BE7" w:rsidRDefault="00893BE7" w:rsidP="0083464F">
            <w:pPr>
              <w:snapToGrid w:val="0"/>
              <w:spacing w:line="480" w:lineRule="auto"/>
              <w:rPr>
                <w:lang/>
              </w:rPr>
            </w:pPr>
            <w:r>
              <w:rPr>
                <w:lang/>
              </w:rPr>
              <w:t>Low risk</w:t>
            </w:r>
          </w:p>
          <w:p w:rsidR="00893BE7" w:rsidRDefault="00893BE7" w:rsidP="0083464F">
            <w:pPr>
              <w:snapToGrid w:val="0"/>
              <w:spacing w:line="480" w:lineRule="auto"/>
              <w:rPr>
                <w:lang/>
              </w:rPr>
            </w:pPr>
            <w:r>
              <w:rPr>
                <w:lang/>
              </w:rPr>
              <w:t>Middle risk</w:t>
            </w:r>
          </w:p>
          <w:p w:rsidR="00893BE7" w:rsidRDefault="00893BE7" w:rsidP="0083464F">
            <w:pPr>
              <w:snapToGrid w:val="0"/>
              <w:spacing w:line="480" w:lineRule="auto"/>
              <w:rPr>
                <w:lang/>
              </w:rPr>
            </w:pPr>
            <w:r>
              <w:rPr>
                <w:lang/>
              </w:rPr>
              <w:t>High risk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</w:p>
          <w:p w:rsidR="00893BE7" w:rsidRDefault="00893BE7" w:rsidP="0083464F">
            <w:pPr>
              <w:snapToGrid w:val="0"/>
              <w:spacing w:line="480" w:lineRule="auto"/>
            </w:pPr>
            <w:r>
              <w:t>Ref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t>2.26 (1.71-3.00)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t>5.31 (3.75-7.50)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</w:p>
          <w:p w:rsidR="00893BE7" w:rsidRDefault="00893BE7" w:rsidP="0083464F">
            <w:pPr>
              <w:snapToGrid w:val="0"/>
              <w:spacing w:line="480" w:lineRule="auto"/>
            </w:pPr>
          </w:p>
          <w:p w:rsidR="00893BE7" w:rsidRDefault="00893BE7" w:rsidP="0083464F">
            <w:pPr>
              <w:snapToGrid w:val="0"/>
              <w:spacing w:line="480" w:lineRule="auto"/>
            </w:pPr>
            <w:r>
              <w:t>&lt;0.001</w:t>
            </w:r>
          </w:p>
          <w:p w:rsidR="00893BE7" w:rsidRDefault="00893BE7" w:rsidP="0083464F">
            <w:pPr>
              <w:snapToGrid w:val="0"/>
              <w:spacing w:line="480" w:lineRule="auto"/>
            </w:pPr>
            <w:r>
              <w:t>&lt;0.001</w:t>
            </w:r>
          </w:p>
        </w:tc>
      </w:tr>
      <w:tr w:rsidR="00893BE7" w:rsidTr="0083464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lastRenderedPageBreak/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rFonts w:hint="eastAsia"/>
              </w:rPr>
              <w:t>Not significant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t>0.172</w:t>
            </w:r>
          </w:p>
        </w:tc>
      </w:tr>
      <w:tr w:rsidR="00893BE7" w:rsidTr="0083464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tabs>
                <w:tab w:val="left" w:pos="698"/>
              </w:tabs>
              <w:snapToGrid w:val="0"/>
              <w:spacing w:line="480" w:lineRule="auto"/>
            </w:pPr>
            <w:r>
              <w:rPr>
                <w:rFonts w:hint="eastAsia"/>
              </w:rPr>
              <w:t>Not significant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t>0.259</w:t>
            </w:r>
          </w:p>
        </w:tc>
      </w:tr>
      <w:tr w:rsidR="00893BE7" w:rsidTr="0083464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Alb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rFonts w:hint="eastAsia"/>
              </w:rPr>
              <w:t>Not significant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t>0.757</w:t>
            </w:r>
          </w:p>
        </w:tc>
      </w:tr>
      <w:tr w:rsidR="00893BE7" w:rsidTr="0083464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TBil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t>1.002 (1.001-1.003)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t>&lt;0.001</w:t>
            </w:r>
          </w:p>
        </w:tc>
      </w:tr>
      <w:tr w:rsidR="00893BE7" w:rsidTr="0083464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Hb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rFonts w:hint="eastAsia"/>
              </w:rPr>
              <w:t>Not significant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t>0.194</w:t>
            </w:r>
          </w:p>
        </w:tc>
      </w:tr>
      <w:tr w:rsidR="00893BE7" w:rsidTr="0083464F"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lang/>
              </w:rPr>
              <w:t>WBC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rPr>
                <w:rFonts w:hint="eastAsia"/>
              </w:rPr>
              <w:t>Not significant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93BE7" w:rsidRDefault="00893BE7" w:rsidP="0083464F">
            <w:pPr>
              <w:snapToGrid w:val="0"/>
              <w:spacing w:line="480" w:lineRule="auto"/>
            </w:pPr>
            <w:r>
              <w:t>0.733</w:t>
            </w:r>
          </w:p>
        </w:tc>
      </w:tr>
    </w:tbl>
    <w:p w:rsidR="00893BE7" w:rsidRDefault="00893BE7" w:rsidP="00893BE7">
      <w:pPr>
        <w:snapToGrid w:val="0"/>
        <w:spacing w:line="480" w:lineRule="auto"/>
        <w:jc w:val="both"/>
      </w:pPr>
      <w:r>
        <w:t xml:space="preserve">ACLF, acute-on-chronic liver failure; Alb, albumin; ALT, Alanine aminotransferase; AST, Aspartate aminotransferase; AVB, acute-variceal bleeding; </w:t>
      </w:r>
      <w:r>
        <w:rPr>
          <w:rFonts w:eastAsia="宋体"/>
        </w:rPr>
        <w:t xml:space="preserve">EHOF, extrahepatic organ failure; HBV, </w:t>
      </w:r>
      <w:r>
        <w:t>hepatitis B virus; Hb, hemoglobin; MELD, model for end-stage liver disease; TBil, total bilirubin; WBC, white blood cell; WGO, World Gastroenterology Organization</w:t>
      </w:r>
      <w:r>
        <w:rPr>
          <w:rFonts w:eastAsia="宋体"/>
        </w:rPr>
        <w:t>.</w:t>
      </w:r>
    </w:p>
    <w:p w:rsidR="00361DCA" w:rsidRDefault="00361DCA"/>
    <w:sectPr w:rsidR="00361D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893BE7"/>
    <w:rsid w:val="00361DCA"/>
    <w:rsid w:val="0089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autoRedefine/>
    <w:uiPriority w:val="99"/>
    <w:qFormat/>
    <w:rsid w:val="00893BE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2024-01-26T07:12:00Z</dcterms:created>
  <dcterms:modified xsi:type="dcterms:W3CDTF">2024-01-26T07:12:00Z</dcterms:modified>
</cp:coreProperties>
</file>