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35" w:rsidRDefault="006B1E35" w:rsidP="006B1E35">
      <w:pPr>
        <w:snapToGrid w:val="0"/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Supplementary Table 3. Comparison of </w:t>
      </w:r>
      <w:r>
        <w:rPr>
          <w:rFonts w:eastAsia="宋体" w:hint="eastAsia"/>
          <w:b/>
          <w:bCs/>
        </w:rPr>
        <w:t>clinical</w:t>
      </w:r>
      <w:r>
        <w:rPr>
          <w:b/>
          <w:bCs/>
        </w:rPr>
        <w:t xml:space="preserve"> characteristics of </w:t>
      </w:r>
      <w:r>
        <w:rPr>
          <w:rFonts w:eastAsia="宋体" w:hint="eastAsia"/>
          <w:b/>
          <w:bCs/>
        </w:rPr>
        <w:t xml:space="preserve">ACLF patients with </w:t>
      </w:r>
      <w:r>
        <w:rPr>
          <w:b/>
          <w:bCs/>
        </w:rPr>
        <w:t>early-onset and late-onset EHOF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20"/>
        <w:gridCol w:w="3677"/>
        <w:gridCol w:w="3677"/>
        <w:gridCol w:w="1400"/>
      </w:tblGrid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Characteristics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Early-onset (</w:t>
            </w:r>
            <w:r w:rsidRPr="00A51CA8"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</w:rPr>
              <w:t>=271)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Late-onset (</w:t>
            </w:r>
            <w:r w:rsidRPr="00A51CA8"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</w:rPr>
              <w:t>=131)</w:t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</w:rPr>
              <w:t>-value</w:t>
            </w:r>
          </w:p>
        </w:tc>
      </w:tr>
      <w:tr w:rsidR="006B1E35" w:rsidTr="0083464F">
        <w:tc>
          <w:tcPr>
            <w:tcW w:w="5000" w:type="pct"/>
            <w:gridSpan w:val="4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  <w:rPr>
                <w:b/>
                <w:bCs/>
                <w:i/>
                <w:iCs/>
              </w:rPr>
            </w:pPr>
            <w:r>
              <w:rPr>
                <w:rFonts w:hint="eastAsia"/>
                <w:b/>
                <w:bCs/>
                <w:i/>
                <w:iCs/>
              </w:rPr>
              <w:t>Basic characteristics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Age, years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49 ± 12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51 ± 10</w:t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0.166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 xml:space="preserve">Male sex, </w:t>
            </w:r>
            <w:r w:rsidRPr="00A51CA8">
              <w:rPr>
                <w:i/>
                <w:iCs/>
              </w:rPr>
              <w:t>n</w:t>
            </w:r>
            <w:r>
              <w:t xml:space="preserve"> (%)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205 (75.6)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109 (83.2)</w:t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0.112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 xml:space="preserve">Etiology, </w:t>
            </w:r>
            <w:r w:rsidRPr="00A51CA8">
              <w:rPr>
                <w:i/>
                <w:iCs/>
              </w:rPr>
              <w:t>n</w:t>
            </w:r>
            <w:r>
              <w:t xml:space="preserve"> (%)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HBV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Alcohol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HBV+Alcohol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Others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</w:p>
          <w:p w:rsidR="006B1E35" w:rsidRDefault="006B1E35" w:rsidP="0083464F">
            <w:pPr>
              <w:snapToGrid w:val="0"/>
              <w:spacing w:line="480" w:lineRule="auto"/>
            </w:pPr>
            <w:r>
              <w:t>159 (58.7)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53 (19.6)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13 (4.8)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46 (17.0)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</w:p>
          <w:p w:rsidR="006B1E35" w:rsidRDefault="006B1E35" w:rsidP="0083464F">
            <w:pPr>
              <w:snapToGrid w:val="0"/>
              <w:spacing w:line="480" w:lineRule="auto"/>
            </w:pPr>
            <w:r>
              <w:t>74 (56.5)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29 (22.1)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14 (10.7)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14 (10.7)</w:t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0.064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 xml:space="preserve">WGO type, </w:t>
            </w:r>
            <w:r w:rsidRPr="00A51CA8">
              <w:rPr>
                <w:i/>
                <w:iCs/>
              </w:rPr>
              <w:t>n</w:t>
            </w:r>
            <w:r>
              <w:t xml:space="preserve"> (%)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A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B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C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</w:p>
          <w:p w:rsidR="006B1E35" w:rsidRDefault="006B1E35" w:rsidP="0083464F">
            <w:pPr>
              <w:snapToGrid w:val="0"/>
              <w:spacing w:line="480" w:lineRule="auto"/>
            </w:pPr>
            <w:r>
              <w:t>60 (22.1)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114 (42.1)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97 (35.8)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</w:p>
          <w:p w:rsidR="006B1E35" w:rsidRDefault="006B1E35" w:rsidP="0083464F">
            <w:pPr>
              <w:snapToGrid w:val="0"/>
              <w:spacing w:line="480" w:lineRule="auto"/>
            </w:pPr>
            <w:r>
              <w:t>18 (13.7)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60 (45.8)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53 (40.5)</w:t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0.135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 xml:space="preserve">Insult, </w:t>
            </w:r>
            <w:r w:rsidRPr="00A51CA8">
              <w:rPr>
                <w:i/>
                <w:iCs/>
              </w:rPr>
              <w:t>n</w:t>
            </w:r>
            <w:r>
              <w:t xml:space="preserve"> (%)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Not identified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Hepatic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lastRenderedPageBreak/>
              <w:t>Extrahepatic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Both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</w:p>
          <w:p w:rsidR="006B1E35" w:rsidRDefault="006B1E35" w:rsidP="0083464F">
            <w:pPr>
              <w:snapToGrid w:val="0"/>
              <w:spacing w:line="480" w:lineRule="auto"/>
            </w:pPr>
            <w:r>
              <w:t>128 (47.2)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65 (24.0)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lastRenderedPageBreak/>
              <w:t>61 (22.5)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17 (6.3)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</w:p>
          <w:p w:rsidR="006B1E35" w:rsidRDefault="006B1E35" w:rsidP="0083464F">
            <w:pPr>
              <w:snapToGrid w:val="0"/>
              <w:spacing w:line="480" w:lineRule="auto"/>
            </w:pPr>
            <w:r>
              <w:t>71 (54.2)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32 (24.4)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lastRenderedPageBreak/>
              <w:t>18 (13.7)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10 (7.6)</w:t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lastRenderedPageBreak/>
              <w:t>0.206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lastRenderedPageBreak/>
              <w:t>Child-Pugh Score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11.00 (10.00-12.00)</w:t>
            </w:r>
            <w:r>
              <w:tab/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11.00 (10.00-11.00)</w:t>
            </w:r>
            <w:r>
              <w:tab/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0.190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MELD Score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27.04 (22.72-30.77)</w:t>
            </w:r>
            <w:r>
              <w:tab/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22.26 (18.77-26.12)</w:t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&lt;0.001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CLIF-SOFA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9.00 (8.00-10.00)</w:t>
            </w:r>
            <w:r>
              <w:tab/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7.00 (7.00-8.00)</w:t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&lt;0.001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CLIF-</w:t>
            </w:r>
            <w:r>
              <w:rPr>
                <w:rFonts w:hint="eastAsia"/>
              </w:rPr>
              <w:t xml:space="preserve">C </w:t>
            </w:r>
            <w:r>
              <w:t>OF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10.00 (10.00-11.00)</w:t>
            </w:r>
            <w:r>
              <w:tab/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8.00 (8.00-9.00)</w:t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&lt;0.001</w:t>
            </w:r>
          </w:p>
        </w:tc>
      </w:tr>
      <w:tr w:rsidR="006B1E35" w:rsidTr="0083464F">
        <w:trPr>
          <w:trHeight w:val="90"/>
        </w:trPr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CLIF-</w:t>
            </w:r>
            <w:r>
              <w:rPr>
                <w:rFonts w:hint="eastAsia"/>
              </w:rPr>
              <w:t xml:space="preserve">C </w:t>
            </w:r>
            <w:r>
              <w:t>ACLF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45.72 (41.11-51.08)</w:t>
            </w:r>
            <w:r>
              <w:tab/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40.45 (36.48-44.38)</w:t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&lt;0.001</w:t>
            </w:r>
          </w:p>
        </w:tc>
      </w:tr>
      <w:tr w:rsidR="006B1E35" w:rsidTr="0083464F">
        <w:trPr>
          <w:trHeight w:val="90"/>
        </w:trPr>
        <w:tc>
          <w:tcPr>
            <w:tcW w:w="4506" w:type="pct"/>
            <w:gridSpan w:val="3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rPr>
                <w:rFonts w:eastAsiaTheme="minorEastAsia" w:hint="eastAsia"/>
                <w:b/>
                <w:bCs/>
                <w:i/>
                <w:iCs/>
              </w:rPr>
              <w:t>Complications</w:t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 xml:space="preserve">W-H classification, </w:t>
            </w:r>
            <w:r w:rsidRPr="00A51CA8">
              <w:rPr>
                <w:i/>
                <w:iCs/>
              </w:rPr>
              <w:t>n</w:t>
            </w:r>
            <w:r>
              <w:t xml:space="preserve"> (%)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0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I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II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III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IV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</w:p>
          <w:p w:rsidR="006B1E35" w:rsidRDefault="006B1E35" w:rsidP="0083464F">
            <w:pPr>
              <w:snapToGrid w:val="0"/>
              <w:spacing w:line="480" w:lineRule="auto"/>
            </w:pPr>
            <w:r>
              <w:t>187 (69.0)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24 (8.9)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29 (10.7)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22 (8.1)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9 (3.3)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</w:p>
          <w:p w:rsidR="006B1E35" w:rsidRDefault="006B1E35" w:rsidP="0083464F">
            <w:pPr>
              <w:snapToGrid w:val="0"/>
              <w:spacing w:line="480" w:lineRule="auto"/>
            </w:pPr>
            <w:r>
              <w:t>105 (80.2)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14 (10.7)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7 (5.3)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4 (3.1)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1 (0.8)</w:t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0.033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 xml:space="preserve">Ascites, </w:t>
            </w:r>
            <w:r w:rsidRPr="00A51CA8">
              <w:rPr>
                <w:i/>
                <w:iCs/>
              </w:rPr>
              <w:t>n</w:t>
            </w:r>
            <w:r>
              <w:t xml:space="preserve"> (%)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204 (75.3)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106 (80.9)</w:t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0.256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 xml:space="preserve">AVB, </w:t>
            </w:r>
            <w:r w:rsidRPr="00A51CA8">
              <w:rPr>
                <w:i/>
                <w:iCs/>
              </w:rPr>
              <w:t>n</w:t>
            </w:r>
            <w:r>
              <w:t xml:space="preserve"> (%)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39 (14.4)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20 (15.3)</w:t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0.934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 xml:space="preserve">Bacterial infection, </w:t>
            </w:r>
            <w:r w:rsidRPr="00A51CA8">
              <w:rPr>
                <w:i/>
                <w:iCs/>
              </w:rPr>
              <w:t>n</w:t>
            </w:r>
            <w:r>
              <w:t xml:space="preserve"> (%)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141 (52.0)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76 (58.0)</w:t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0.307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lastRenderedPageBreak/>
              <w:t xml:space="preserve">Type of EHOF, </w:t>
            </w:r>
            <w:r w:rsidRPr="00A51CA8">
              <w:rPr>
                <w:i/>
                <w:iCs/>
              </w:rPr>
              <w:t>n</w:t>
            </w:r>
            <w:r>
              <w:t xml:space="preserve"> (%)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Brain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Renal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Coagulation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Respiratory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Circulatory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</w:p>
          <w:p w:rsidR="006B1E35" w:rsidRDefault="006B1E35" w:rsidP="0083464F">
            <w:pPr>
              <w:snapToGrid w:val="0"/>
              <w:spacing w:line="480" w:lineRule="auto"/>
            </w:pPr>
            <w:r>
              <w:t>31 (11.4)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59 (21.8)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251 (92.6)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25 (9.2)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9 (3.3)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</w:p>
          <w:p w:rsidR="006B1E35" w:rsidRDefault="006B1E35" w:rsidP="0083464F">
            <w:pPr>
              <w:snapToGrid w:val="0"/>
              <w:spacing w:line="480" w:lineRule="auto"/>
            </w:pPr>
            <w:r>
              <w:t>5 (3.8)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37 (28.2)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95 (72.5)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7 (5.3)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8 (6.1)</w:t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</w:p>
          <w:p w:rsidR="006B1E35" w:rsidRDefault="006B1E35" w:rsidP="0083464F">
            <w:pPr>
              <w:snapToGrid w:val="0"/>
              <w:spacing w:line="480" w:lineRule="auto"/>
            </w:pPr>
            <w:r>
              <w:t>0.014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0.170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&lt;0.001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0.238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0.197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 xml:space="preserve">Number of EHOF, </w:t>
            </w:r>
            <w:r w:rsidRPr="00A51CA8">
              <w:rPr>
                <w:i/>
                <w:iCs/>
              </w:rPr>
              <w:t>n</w:t>
            </w:r>
            <w:r>
              <w:t xml:space="preserve"> (%)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SEHOF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MEHOF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</w:p>
          <w:p w:rsidR="006B1E35" w:rsidRDefault="006B1E35" w:rsidP="0083464F">
            <w:pPr>
              <w:snapToGrid w:val="0"/>
              <w:spacing w:line="480" w:lineRule="auto"/>
            </w:pPr>
            <w:r>
              <w:t>185 (68.3)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86 (31.7)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</w:p>
          <w:p w:rsidR="006B1E35" w:rsidRDefault="006B1E35" w:rsidP="0083464F">
            <w:pPr>
              <w:snapToGrid w:val="0"/>
              <w:spacing w:line="480" w:lineRule="auto"/>
            </w:pPr>
            <w:r>
              <w:t>110 (84.0)</w:t>
            </w:r>
          </w:p>
          <w:p w:rsidR="006B1E35" w:rsidRDefault="006B1E35" w:rsidP="0083464F">
            <w:pPr>
              <w:snapToGrid w:val="0"/>
              <w:spacing w:line="480" w:lineRule="auto"/>
            </w:pPr>
            <w:r>
              <w:t>21 (16.0)</w:t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0.001</w:t>
            </w:r>
          </w:p>
        </w:tc>
      </w:tr>
      <w:tr w:rsidR="006B1E35" w:rsidTr="0083464F">
        <w:tc>
          <w:tcPr>
            <w:tcW w:w="5000" w:type="pct"/>
            <w:gridSpan w:val="4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rPr>
                <w:rFonts w:hint="eastAsia"/>
                <w:b/>
                <w:bCs/>
                <w:i/>
                <w:iCs/>
              </w:rPr>
              <w:t>Laboratory results at admission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ALT, U/L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160.70 (54.20-512.30)</w:t>
            </w:r>
            <w:r>
              <w:tab/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161.00 (43.00-394.00)</w:t>
            </w:r>
            <w:r>
              <w:tab/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0.697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AST, U/L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180.00 (82.00-468.00)</w:t>
            </w:r>
            <w:r>
              <w:tab/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tabs>
                <w:tab w:val="left" w:pos="698"/>
              </w:tabs>
              <w:snapToGrid w:val="0"/>
              <w:spacing w:line="480" w:lineRule="auto"/>
            </w:pPr>
            <w:r>
              <w:t>179.80 (99.00-414.00)</w:t>
            </w:r>
            <w:r>
              <w:tab/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0.732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Alb, g/L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28.30 (25.00-32.00)</w:t>
            </w:r>
            <w:r>
              <w:tab/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28.30 (25.50-32.00)</w:t>
            </w:r>
            <w:r>
              <w:tab/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0.736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TBil, μmol/L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276.90 (194.65-396.50)</w:t>
            </w:r>
            <w:r>
              <w:tab/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309.40 (183.50-443.50)</w:t>
            </w:r>
            <w:r>
              <w:tab/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0.221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PTA, %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25.00 (21.00-30.00)</w:t>
            </w:r>
            <w:r>
              <w:tab/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36.10 (31.85-40.60)</w:t>
            </w:r>
            <w:r>
              <w:tab/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&lt;0.001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INR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2.89 (2.56-3.34)</w:t>
            </w:r>
            <w:r>
              <w:tab/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2.05 (1.88-2.22)</w:t>
            </w:r>
            <w:r>
              <w:tab/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&lt;0.001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BUN, mmol/L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5.10 (3.54-11.39)</w:t>
            </w:r>
            <w:r>
              <w:tab/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5.10 (3.82-7.49)</w:t>
            </w:r>
            <w:r>
              <w:tab/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0.409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lastRenderedPageBreak/>
              <w:t>Cr, μmol/L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73.00 (59.00-104.00)</w:t>
            </w:r>
            <w:r>
              <w:tab/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81.00 (60.60-99.00)</w:t>
            </w:r>
            <w:r>
              <w:tab/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0.964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Hb, g/L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118.00 (100.00-136.00)</w:t>
            </w:r>
            <w:r>
              <w:tab/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121.00 (103.00-138.75)</w:t>
            </w:r>
            <w:r>
              <w:tab/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0.328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WBC, ×10</w:t>
            </w:r>
            <w:r>
              <w:rPr>
                <w:vertAlign w:val="superscript"/>
              </w:rPr>
              <w:t>9</w:t>
            </w:r>
            <w:r>
              <w:t>/L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7.37 (5.24-10.34)</w:t>
            </w:r>
            <w:r>
              <w:tab/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7.35 (5.21-9.66)</w:t>
            </w:r>
            <w:r>
              <w:tab/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0.287</w:t>
            </w:r>
          </w:p>
        </w:tc>
      </w:tr>
      <w:tr w:rsidR="006B1E35" w:rsidTr="0083464F">
        <w:tc>
          <w:tcPr>
            <w:tcW w:w="1912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PLT, ×10</w:t>
            </w:r>
            <w:r>
              <w:rPr>
                <w:vertAlign w:val="superscript"/>
              </w:rPr>
              <w:t>9</w:t>
            </w:r>
            <w:r>
              <w:t>/L</w:t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86.00 (54.50-125.50)</w:t>
            </w:r>
            <w:r>
              <w:tab/>
            </w:r>
          </w:p>
        </w:tc>
        <w:tc>
          <w:tcPr>
            <w:tcW w:w="1297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88.00 (62.00-132.50)</w:t>
            </w:r>
            <w:r>
              <w:tab/>
            </w:r>
          </w:p>
        </w:tc>
        <w:tc>
          <w:tcPr>
            <w:tcW w:w="493" w:type="pct"/>
            <w:tcBorders>
              <w:tl2br w:val="nil"/>
              <w:tr2bl w:val="nil"/>
            </w:tcBorders>
          </w:tcPr>
          <w:p w:rsidR="006B1E35" w:rsidRDefault="006B1E35" w:rsidP="0083464F">
            <w:pPr>
              <w:snapToGrid w:val="0"/>
              <w:spacing w:line="480" w:lineRule="auto"/>
            </w:pPr>
            <w:r>
              <w:t>0.233</w:t>
            </w:r>
          </w:p>
        </w:tc>
      </w:tr>
    </w:tbl>
    <w:p w:rsidR="006B1E35" w:rsidRDefault="006B1E35" w:rsidP="006B1E35">
      <w:pPr>
        <w:snapToGrid w:val="0"/>
        <w:spacing w:line="480" w:lineRule="auto"/>
        <w:jc w:val="both"/>
        <w:sectPr w:rsidR="006B1E35" w:rsidSect="008E15FC">
          <w:pgSz w:w="16838" w:h="11906" w:orient="landscape"/>
          <w:pgMar w:top="1800" w:right="1440" w:bottom="1800" w:left="1440" w:header="851" w:footer="992" w:gutter="0"/>
          <w:cols w:space="425"/>
          <w:docGrid w:linePitch="360"/>
        </w:sectPr>
      </w:pPr>
      <w:r>
        <w:t xml:space="preserve">ACLF, acute-on-chronic liver failure; Alb, albumin; ALT, Alanine aminotransferase; AST, Aspartate aminotransferase; AVB, acute-variceal bleeding; BUN, blood urea nitrogen; CLIF-C ACLF, chronic liver failure Consortium acute-on-chronic liver failure; CLIF-C OF, chronic liver failure Consortium organ failure score; CLIF-SOFA, chronic liver failure Consortium sequential organ failure assessment; Cr, creatinine; </w:t>
      </w:r>
      <w:r>
        <w:rPr>
          <w:rFonts w:eastAsia="宋体"/>
        </w:rPr>
        <w:t xml:space="preserve">EHOF, extrahepatic organ failure; HBV, </w:t>
      </w:r>
      <w:r>
        <w:t>hepatitis B virus; HE, hepatic encephalopathy; Hb, hemoglobin; INR, international normalized ratio; MELD, model for end-stage liver disease; MEHOF, multiple extrahepatic organ failure; PLT, platelet; PTA, prothrombin activity; SEHOF, single extrahepatic organ failure; Simul, simultaneously; TBil, total bilirubin; WBC, white blood cell; W-H, West-Haven; WGO, World Gastroenterology Organization</w:t>
      </w:r>
      <w:r>
        <w:rPr>
          <w:rFonts w:eastAsia="宋体"/>
        </w:rPr>
        <w:t>.</w:t>
      </w:r>
      <w:r>
        <w:br w:type="page"/>
      </w:r>
    </w:p>
    <w:p w:rsidR="00E165F5" w:rsidRDefault="00E165F5"/>
    <w:sectPr w:rsidR="00E165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6B1E35"/>
    <w:rsid w:val="006B1E35"/>
    <w:rsid w:val="00E1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autoRedefine/>
    <w:uiPriority w:val="99"/>
    <w:qFormat/>
    <w:rsid w:val="006B1E3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2024-01-26T07:12:00Z</dcterms:created>
  <dcterms:modified xsi:type="dcterms:W3CDTF">2024-01-26T07:12:00Z</dcterms:modified>
</cp:coreProperties>
</file>